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theme/themeOverride2.xml" ContentType="application/vnd.openxmlformats-officedocument.themeOverride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22" w:rsidRDefault="00761D22" w:rsidP="00A00C5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C83E68" w:rsidP="00A00C5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 № 6</w:t>
      </w:r>
    </w:p>
    <w:p w:rsidR="00A00C50" w:rsidRDefault="00A00C50" w:rsidP="00A00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отчет об исполнении бюджета  </w:t>
      </w:r>
    </w:p>
    <w:p w:rsidR="00A00C50" w:rsidRDefault="00A00C50" w:rsidP="00A00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Геймановского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  </w:t>
      </w:r>
    </w:p>
    <w:p w:rsidR="00A00C50" w:rsidRDefault="00A00C50" w:rsidP="00A00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201</w:t>
      </w:r>
      <w:r w:rsidR="00C83E6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C50" w:rsidRDefault="00A00C50" w:rsidP="00A00C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935853" w:rsidP="00A00C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</w:t>
      </w:r>
      <w:r w:rsidR="00A00C50">
        <w:rPr>
          <w:rFonts w:ascii="Times New Roman" w:hAnsi="Times New Roman" w:cs="Times New Roman"/>
          <w:sz w:val="28"/>
          <w:szCs w:val="28"/>
        </w:rPr>
        <w:t>.04.201</w:t>
      </w:r>
      <w:r w:rsidR="00C83E68">
        <w:rPr>
          <w:rFonts w:ascii="Times New Roman" w:hAnsi="Times New Roman" w:cs="Times New Roman"/>
          <w:sz w:val="28"/>
          <w:szCs w:val="28"/>
        </w:rPr>
        <w:t>5</w:t>
      </w:r>
      <w:r w:rsidR="00A00C50">
        <w:rPr>
          <w:rFonts w:ascii="Times New Roman" w:hAnsi="Times New Roman" w:cs="Times New Roman"/>
          <w:sz w:val="28"/>
          <w:szCs w:val="28"/>
        </w:rPr>
        <w:t xml:space="preserve">г.                                       </w:t>
      </w:r>
      <w:r w:rsidR="00A00C50">
        <w:rPr>
          <w:rFonts w:ascii="Times New Roman" w:hAnsi="Times New Roman" w:cs="Times New Roman"/>
          <w:sz w:val="28"/>
          <w:szCs w:val="28"/>
        </w:rPr>
        <w:tab/>
      </w:r>
      <w:r w:rsidR="00A00C50">
        <w:rPr>
          <w:rFonts w:ascii="Times New Roman" w:hAnsi="Times New Roman" w:cs="Times New Roman"/>
          <w:sz w:val="28"/>
          <w:szCs w:val="28"/>
        </w:rPr>
        <w:tab/>
      </w:r>
      <w:r w:rsidR="00A00C50">
        <w:rPr>
          <w:rFonts w:ascii="Times New Roman" w:hAnsi="Times New Roman" w:cs="Times New Roman"/>
          <w:sz w:val="28"/>
          <w:szCs w:val="28"/>
        </w:rPr>
        <w:tab/>
      </w:r>
      <w:r w:rsidR="00A00C50">
        <w:rPr>
          <w:rFonts w:ascii="Times New Roman" w:hAnsi="Times New Roman" w:cs="Times New Roman"/>
          <w:sz w:val="28"/>
          <w:szCs w:val="28"/>
        </w:rPr>
        <w:tab/>
        <w:t xml:space="preserve">   ст. Тбилисская</w:t>
      </w:r>
    </w:p>
    <w:p w:rsidR="00A00C50" w:rsidRDefault="00A00C50" w:rsidP="00A00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9B" w:rsidRDefault="00EF3D9B" w:rsidP="00A00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C50" w:rsidRPr="00974007" w:rsidRDefault="00A00C50" w:rsidP="00974007">
      <w:pPr>
        <w:pStyle w:val="ad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00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F3D9B" w:rsidRDefault="00EF3D9B" w:rsidP="009740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007" w:rsidRPr="00B551ED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Основание для  проведения  экспертно-аналитического  мероприятия:</w:t>
      </w:r>
    </w:p>
    <w:p w:rsidR="00974007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- ст. 9  федерального закона от 7 февраля 2011  № 6-ФЗ;                                        - ст.</w:t>
      </w:r>
      <w:r w:rsidRPr="000E1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264.</w:t>
      </w:r>
      <w:r w:rsidRPr="005A3F1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,  264.</w:t>
      </w:r>
      <w:r w:rsidRPr="005A3F1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264.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6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РФ;</w:t>
      </w:r>
    </w:p>
    <w:p w:rsidR="00974007" w:rsidRDefault="00974007" w:rsidP="00BA67A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п. 2.1.2 п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 контрольно–счетной палаты муниципального образования Тбилисский район на 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44C92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0A5D50">
        <w:rPr>
          <w:rFonts w:ascii="Times New Roman" w:hAnsi="Times New Roman" w:cs="Times New Roman"/>
          <w:sz w:val="28"/>
          <w:szCs w:val="28"/>
        </w:rPr>
        <w:t>п. 1.2</w:t>
      </w:r>
      <w:r>
        <w:rPr>
          <w:rFonts w:ascii="Times New Roman" w:hAnsi="Times New Roman" w:cs="Times New Roman"/>
          <w:sz w:val="28"/>
          <w:szCs w:val="28"/>
        </w:rPr>
        <w:t xml:space="preserve">.1, 4.2.1  соглашения   </w:t>
      </w:r>
      <w:r w:rsidRPr="000A5D50">
        <w:rPr>
          <w:rFonts w:ascii="Times New Roman" w:hAnsi="Times New Roman" w:cs="Times New Roman"/>
          <w:sz w:val="28"/>
          <w:szCs w:val="28"/>
        </w:rPr>
        <w:t xml:space="preserve">«О  передаче контрольно-счетной палате муниципального образования Тбилисский район полномочий контрольно-счетного органа сельского поселения по </w:t>
      </w:r>
      <w:r>
        <w:rPr>
          <w:rFonts w:ascii="Times New Roman" w:hAnsi="Times New Roman" w:cs="Times New Roman"/>
          <w:sz w:val="28"/>
          <w:szCs w:val="28"/>
        </w:rPr>
        <w:t>проведению внешней проверки годового отчета об исполнении бюджета поселения»;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C0009">
        <w:rPr>
          <w:rFonts w:ascii="Times New Roman" w:hAnsi="Times New Roman" w:cs="Times New Roman"/>
          <w:sz w:val="28"/>
          <w:szCs w:val="28"/>
        </w:rPr>
        <w:t>- ст.</w:t>
      </w:r>
      <w:r>
        <w:rPr>
          <w:rFonts w:ascii="Times New Roman" w:hAnsi="Times New Roman" w:cs="Times New Roman"/>
          <w:sz w:val="28"/>
          <w:szCs w:val="28"/>
        </w:rPr>
        <w:t xml:space="preserve"> 78, 79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Устава  </w:t>
      </w:r>
      <w:proofErr w:type="spellStart"/>
      <w:r w:rsidR="00244C92">
        <w:rPr>
          <w:rFonts w:ascii="Times New Roman" w:hAnsi="Times New Roman" w:cs="Times New Roman"/>
          <w:sz w:val="28"/>
          <w:szCs w:val="28"/>
        </w:rPr>
        <w:t>Гейманов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;                            </w:t>
      </w:r>
    </w:p>
    <w:p w:rsidR="00974007" w:rsidRPr="00B425D9" w:rsidRDefault="00974007" w:rsidP="00BA67A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  </w:t>
      </w:r>
      <w:r w:rsidR="00244C92" w:rsidRPr="001C0009">
        <w:rPr>
          <w:rFonts w:ascii="Times New Roman" w:hAnsi="Times New Roman" w:cs="Times New Roman"/>
          <w:sz w:val="28"/>
          <w:szCs w:val="28"/>
        </w:rPr>
        <w:t xml:space="preserve">- ст. </w:t>
      </w:r>
      <w:r w:rsidR="00244C92">
        <w:rPr>
          <w:rFonts w:ascii="Times New Roman" w:hAnsi="Times New Roman" w:cs="Times New Roman"/>
          <w:sz w:val="28"/>
          <w:szCs w:val="28"/>
        </w:rPr>
        <w:t>41, 42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</w:rPr>
        <w:t>Положения о бюджетном процессе в</w:t>
      </w:r>
      <w:r w:rsidR="00244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4C92"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51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551E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528.</w:t>
      </w:r>
    </w:p>
    <w:p w:rsidR="00974007" w:rsidRPr="00B551ED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 экспертно-аналитического  мероприятия  и подготовки Заключения:</w:t>
      </w:r>
    </w:p>
    <w:p w:rsidR="00974007" w:rsidRPr="00B551ED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1ED">
        <w:rPr>
          <w:rFonts w:ascii="Times New Roman" w:hAnsi="Times New Roman" w:cs="Times New Roman"/>
          <w:sz w:val="28"/>
          <w:szCs w:val="28"/>
        </w:rPr>
        <w:t>-  соблюдение,  установленного  ст. 215.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217, 217.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218, 219, 219.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219.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>, 220.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226.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232, 236, 239, 241, 241.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242,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1ED">
        <w:rPr>
          <w:rFonts w:ascii="Times New Roman" w:hAnsi="Times New Roman" w:cs="Times New Roman"/>
          <w:sz w:val="28"/>
          <w:szCs w:val="28"/>
        </w:rPr>
        <w:t>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>, 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>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B551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   и действующими правовыми  нормативными  актами  п</w:t>
      </w:r>
      <w:r w:rsidR="00DB5EA6">
        <w:rPr>
          <w:rFonts w:ascii="Times New Roman" w:hAnsi="Times New Roman" w:cs="Times New Roman"/>
          <w:sz w:val="28"/>
          <w:szCs w:val="28"/>
        </w:rPr>
        <w:t>орядка   составления администрацией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отчета об исполнении бюджета и  представления отчета  в Совет </w:t>
      </w:r>
      <w:proofErr w:type="spellStart"/>
      <w:r w:rsidR="00244C92">
        <w:rPr>
          <w:rFonts w:ascii="Times New Roman" w:hAnsi="Times New Roman" w:cs="Times New Roman"/>
          <w:sz w:val="28"/>
          <w:szCs w:val="28"/>
        </w:rPr>
        <w:t>Гейманов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для его  рассмотрения и утверждения.</w:t>
      </w:r>
      <w:proofErr w:type="gramEnd"/>
    </w:p>
    <w:p w:rsidR="00974007" w:rsidRPr="00B551ED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проекта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«Об исполнении бюджета </w:t>
      </w:r>
      <w:proofErr w:type="spellStart"/>
      <w:r w:rsidR="00244C92">
        <w:rPr>
          <w:rFonts w:ascii="Times New Roman" w:hAnsi="Times New Roman" w:cs="Times New Roman"/>
          <w:sz w:val="28"/>
          <w:szCs w:val="28"/>
        </w:rPr>
        <w:t>Гейманов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>
        <w:rPr>
          <w:rFonts w:ascii="Times New Roman" w:hAnsi="Times New Roman" w:cs="Times New Roman"/>
          <w:sz w:val="28"/>
          <w:szCs w:val="28"/>
        </w:rPr>
        <w:t xml:space="preserve">а за </w:t>
      </w:r>
      <w:r w:rsidRPr="00B551E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год»,  </w:t>
      </w: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0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ст. 41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Pr="001C0009">
        <w:rPr>
          <w:rFonts w:ascii="Times New Roman" w:hAnsi="Times New Roman" w:cs="Times New Roman"/>
          <w:sz w:val="28"/>
          <w:szCs w:val="28"/>
        </w:rPr>
        <w:t xml:space="preserve">от 28.10.2013 г.  № </w:t>
      </w:r>
      <w:r>
        <w:rPr>
          <w:rFonts w:ascii="Times New Roman" w:hAnsi="Times New Roman" w:cs="Times New Roman"/>
          <w:sz w:val="28"/>
          <w:szCs w:val="28"/>
        </w:rPr>
        <w:t>528</w:t>
      </w:r>
      <w:r w:rsidRPr="00B551ED">
        <w:rPr>
          <w:rFonts w:ascii="Times New Roman" w:hAnsi="Times New Roman" w:cs="Times New Roman"/>
          <w:sz w:val="28"/>
          <w:szCs w:val="28"/>
        </w:rPr>
        <w:t>;</w:t>
      </w:r>
    </w:p>
    <w:p w:rsidR="00974007" w:rsidRPr="00B551ED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Заключение контрольно-счетной палаты  на отчет об исполнении бюджета </w:t>
      </w:r>
      <w:proofErr w:type="spellStart"/>
      <w:r w:rsidR="00244C92">
        <w:rPr>
          <w:rFonts w:ascii="Times New Roman" w:hAnsi="Times New Roman" w:cs="Times New Roman"/>
          <w:sz w:val="28"/>
          <w:szCs w:val="28"/>
        </w:rPr>
        <w:t>Гейманов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 подготовлено с учетом требований Бюджетного кодекса РФ,   Положения о бюджетном процессе и иными действующими  законодательными и нормативно-правовыми актами.</w:t>
      </w:r>
    </w:p>
    <w:p w:rsidR="00974007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год» 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администрацией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и  представлен в     контрольно - счетную палату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25 марта 2015 года,</w:t>
      </w:r>
      <w:r w:rsidRPr="00B551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551ED">
        <w:rPr>
          <w:rFonts w:ascii="Times New Roman" w:hAnsi="Times New Roman" w:cs="Times New Roman"/>
          <w:sz w:val="28"/>
          <w:szCs w:val="28"/>
        </w:rPr>
        <w:t xml:space="preserve"> срок</w:t>
      </w:r>
      <w:r w:rsidR="00244C92">
        <w:rPr>
          <w:rFonts w:ascii="Times New Roman" w:hAnsi="Times New Roman" w:cs="Times New Roman"/>
          <w:sz w:val="28"/>
          <w:szCs w:val="28"/>
        </w:rPr>
        <w:t>, установленного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244C92">
        <w:rPr>
          <w:rFonts w:ascii="Times New Roman" w:hAnsi="Times New Roman" w:cs="Times New Roman"/>
          <w:sz w:val="28"/>
          <w:szCs w:val="28"/>
        </w:rPr>
        <w:t>ст. 41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с  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требуемыми приложениями.</w:t>
      </w:r>
      <w:r w:rsidRPr="00B551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974007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</w:t>
      </w:r>
      <w:r>
        <w:rPr>
          <w:rFonts w:ascii="Times New Roman" w:hAnsi="Times New Roman" w:cs="Times New Roman"/>
          <w:sz w:val="28"/>
          <w:szCs w:val="28"/>
        </w:rPr>
        <w:t>с отчетом</w:t>
      </w:r>
      <w:r w:rsidRPr="00B551ED">
        <w:rPr>
          <w:rFonts w:ascii="Times New Roman" w:hAnsi="Times New Roman" w:cs="Times New Roman"/>
          <w:sz w:val="28"/>
          <w:szCs w:val="28"/>
        </w:rPr>
        <w:t>,  соответствует ст.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264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366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264</w:t>
      </w:r>
      <w:r w:rsidRPr="0058409F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007" w:rsidRPr="00974007" w:rsidRDefault="00974007" w:rsidP="00BA67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A00C50" w:rsidP="00767438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Итоги социально-экономического развития </w:t>
      </w:r>
      <w:proofErr w:type="spellStart"/>
      <w:r w:rsidR="00B47F51">
        <w:rPr>
          <w:rFonts w:ascii="Times New Roman" w:hAnsi="Times New Roman" w:cs="Times New Roman"/>
          <w:b/>
          <w:sz w:val="28"/>
          <w:szCs w:val="28"/>
        </w:rPr>
        <w:t>Геймановского</w:t>
      </w:r>
      <w:proofErr w:type="spellEnd"/>
      <w:r w:rsidR="00B47F5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3902DE">
        <w:rPr>
          <w:rFonts w:ascii="Times New Roman" w:hAnsi="Times New Roman" w:cs="Times New Roman"/>
          <w:b/>
          <w:sz w:val="28"/>
          <w:szCs w:val="28"/>
        </w:rPr>
        <w:t>4</w:t>
      </w:r>
      <w:r w:rsidR="007855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785598">
        <w:rPr>
          <w:rFonts w:ascii="Times New Roman" w:hAnsi="Times New Roman" w:cs="Times New Roman"/>
          <w:b/>
          <w:sz w:val="28"/>
          <w:szCs w:val="28"/>
        </w:rPr>
        <w:t>.</w:t>
      </w:r>
    </w:p>
    <w:p w:rsidR="00461772" w:rsidRDefault="00A00C50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772" w:rsidRPr="00461772">
        <w:rPr>
          <w:rFonts w:ascii="Times New Roman" w:hAnsi="Times New Roman" w:cs="Times New Roman"/>
          <w:sz w:val="28"/>
          <w:szCs w:val="28"/>
        </w:rPr>
        <w:t>Геймановск</w:t>
      </w:r>
      <w:r w:rsidR="00461772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461772" w:rsidRPr="0046177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461772">
        <w:rPr>
          <w:rFonts w:ascii="Times New Roman" w:hAnsi="Times New Roman" w:cs="Times New Roman"/>
          <w:sz w:val="28"/>
          <w:szCs w:val="28"/>
        </w:rPr>
        <w:t>им</w:t>
      </w:r>
      <w:r w:rsidR="00461772" w:rsidRPr="004617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61772">
        <w:rPr>
          <w:rFonts w:ascii="Times New Roman" w:hAnsi="Times New Roman" w:cs="Times New Roman"/>
          <w:sz w:val="28"/>
          <w:szCs w:val="28"/>
        </w:rPr>
        <w:t>ем</w:t>
      </w:r>
      <w:r w:rsidR="00461772" w:rsidRPr="00461772">
        <w:rPr>
          <w:rFonts w:ascii="Times New Roman" w:hAnsi="Times New Roman" w:cs="Times New Roman"/>
          <w:sz w:val="28"/>
          <w:szCs w:val="28"/>
        </w:rPr>
        <w:t xml:space="preserve"> Тбилисского района </w:t>
      </w:r>
      <w:r w:rsidR="00461772">
        <w:rPr>
          <w:rFonts w:ascii="Times New Roman" w:hAnsi="Times New Roman" w:cs="Times New Roman"/>
          <w:sz w:val="28"/>
          <w:szCs w:val="28"/>
        </w:rPr>
        <w:t>претворяется в жизнь стратегический план развития</w:t>
      </w:r>
      <w:r w:rsidR="008D3F20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</w:t>
      </w:r>
      <w:r w:rsidR="00461772">
        <w:rPr>
          <w:rFonts w:ascii="Times New Roman" w:hAnsi="Times New Roman" w:cs="Times New Roman"/>
          <w:sz w:val="28"/>
          <w:szCs w:val="28"/>
        </w:rPr>
        <w:t>. Основной целью стратегии является повышение</w:t>
      </w:r>
      <w:r w:rsidR="008D3F20">
        <w:rPr>
          <w:rFonts w:ascii="Times New Roman" w:hAnsi="Times New Roman" w:cs="Times New Roman"/>
          <w:sz w:val="28"/>
          <w:szCs w:val="28"/>
        </w:rPr>
        <w:t xml:space="preserve"> </w:t>
      </w:r>
      <w:r w:rsidR="00461772">
        <w:rPr>
          <w:rFonts w:ascii="Times New Roman" w:hAnsi="Times New Roman" w:cs="Times New Roman"/>
          <w:sz w:val="28"/>
          <w:szCs w:val="28"/>
        </w:rPr>
        <w:t xml:space="preserve">уровня и улучшение качества жизни каждого жителя </w:t>
      </w:r>
      <w:r w:rsidR="008D3F20">
        <w:rPr>
          <w:rFonts w:ascii="Times New Roman" w:hAnsi="Times New Roman" w:cs="Times New Roman"/>
          <w:sz w:val="28"/>
          <w:szCs w:val="28"/>
        </w:rPr>
        <w:t>поселения</w:t>
      </w:r>
      <w:r w:rsidR="00461772">
        <w:rPr>
          <w:rFonts w:ascii="Times New Roman" w:hAnsi="Times New Roman" w:cs="Times New Roman"/>
          <w:sz w:val="28"/>
          <w:szCs w:val="28"/>
        </w:rPr>
        <w:t xml:space="preserve"> на основе устойчивого социально-экономического развития. Администрацией сельского поселения принимались все самые необходимые меры, направленные на улучшение условий жизни, социальную защиту и материальную поддержку жителей поселения, обеспечение на территории поселения общественной безопасности и правопорядка, стабильности в работе объектов жизнеобеспечения, социальных, а также сельхозпредприятий, осуществляющих свою деятельность на территории сельского поселения. </w:t>
      </w:r>
    </w:p>
    <w:p w:rsidR="000F4A37" w:rsidRPr="00A6769F" w:rsidRDefault="000F4A37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A6769F">
        <w:rPr>
          <w:rFonts w:ascii="Times New Roman" w:hAnsi="Times New Roman" w:cs="Times New Roman"/>
          <w:sz w:val="28"/>
          <w:szCs w:val="28"/>
        </w:rPr>
        <w:t>На тер</w:t>
      </w:r>
      <w:r>
        <w:rPr>
          <w:rFonts w:ascii="Times New Roman" w:hAnsi="Times New Roman" w:cs="Times New Roman"/>
          <w:sz w:val="28"/>
          <w:szCs w:val="28"/>
        </w:rPr>
        <w:t>ритории поселения проживает 2697</w:t>
      </w:r>
      <w:r w:rsidRPr="00A6769F">
        <w:rPr>
          <w:rFonts w:ascii="Times New Roman" w:hAnsi="Times New Roman" w:cs="Times New Roman"/>
          <w:sz w:val="28"/>
          <w:szCs w:val="28"/>
        </w:rPr>
        <w:t xml:space="preserve"> человек, трудоустроенного населения 1390 человек</w:t>
      </w:r>
      <w:r>
        <w:rPr>
          <w:rFonts w:ascii="Times New Roman" w:hAnsi="Times New Roman" w:cs="Times New Roman"/>
          <w:sz w:val="28"/>
          <w:szCs w:val="28"/>
        </w:rPr>
        <w:t xml:space="preserve"> или 51,5 % от численности населения в поселении</w:t>
      </w:r>
      <w:r w:rsidRPr="00A6769F">
        <w:rPr>
          <w:rFonts w:ascii="Times New Roman" w:hAnsi="Times New Roman" w:cs="Times New Roman"/>
          <w:sz w:val="28"/>
          <w:szCs w:val="28"/>
        </w:rPr>
        <w:t>, из них 677 человек занято в экономики поселения</w:t>
      </w:r>
      <w:r>
        <w:rPr>
          <w:rFonts w:ascii="Times New Roman" w:hAnsi="Times New Roman" w:cs="Times New Roman"/>
          <w:sz w:val="28"/>
          <w:szCs w:val="28"/>
        </w:rPr>
        <w:t xml:space="preserve"> или 25,1 % от численности населения в поселении</w:t>
      </w:r>
      <w:r w:rsidRPr="00A6769F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>е трудоустроенного населения 549</w:t>
      </w:r>
      <w:r w:rsidRPr="00A6769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или 20,4% от численности населения в поселении</w:t>
      </w:r>
      <w:r w:rsidRPr="00A6769F">
        <w:rPr>
          <w:rFonts w:ascii="Times New Roman" w:hAnsi="Times New Roman" w:cs="Times New Roman"/>
          <w:sz w:val="28"/>
          <w:szCs w:val="28"/>
        </w:rPr>
        <w:t>, молодежи 381 человек</w:t>
      </w:r>
      <w:r>
        <w:rPr>
          <w:rFonts w:ascii="Times New Roman" w:hAnsi="Times New Roman" w:cs="Times New Roman"/>
          <w:sz w:val="28"/>
          <w:szCs w:val="28"/>
        </w:rPr>
        <w:t xml:space="preserve"> или 14,1%</w:t>
      </w:r>
      <w:r w:rsidRPr="000F4A37">
        <w:rPr>
          <w:rFonts w:ascii="Times New Roman" w:hAnsi="Times New Roman" w:cs="Times New Roman"/>
          <w:sz w:val="28"/>
          <w:szCs w:val="28"/>
        </w:rPr>
        <w:t xml:space="preserve"> от численности населения в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957" w:rsidRDefault="00A00C50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A6769F">
        <w:rPr>
          <w:rFonts w:ascii="Times New Roman" w:hAnsi="Times New Roman" w:cs="Times New Roman"/>
          <w:sz w:val="28"/>
          <w:szCs w:val="28"/>
        </w:rPr>
        <w:t xml:space="preserve">Общая площадь земель поселения составляет 7320га. Земель сельскохозяйственного назначения - 5619 га, транспорта – 19,7 га, водного фонда – 413 га, земли населенных пунктов – 1140 га, иных земель–128,3 га.                 Экономическую основу поселения составляют сельскохозяйственные предприятия – </w:t>
      </w:r>
      <w:r w:rsidRPr="00D876AF">
        <w:rPr>
          <w:rFonts w:ascii="Times New Roman" w:hAnsi="Times New Roman" w:cs="Times New Roman"/>
          <w:sz w:val="28"/>
          <w:szCs w:val="28"/>
        </w:rPr>
        <w:t>ЗАО «Агрофи</w:t>
      </w:r>
      <w:r w:rsidR="00D876AF" w:rsidRPr="00D876AF">
        <w:rPr>
          <w:rFonts w:ascii="Times New Roman" w:hAnsi="Times New Roman" w:cs="Times New Roman"/>
          <w:sz w:val="28"/>
          <w:szCs w:val="28"/>
        </w:rPr>
        <w:t>рма Дружба» где работает около 119</w:t>
      </w:r>
      <w:r w:rsidRPr="00D876AF">
        <w:rPr>
          <w:rFonts w:ascii="Times New Roman" w:hAnsi="Times New Roman" w:cs="Times New Roman"/>
          <w:sz w:val="28"/>
          <w:szCs w:val="28"/>
        </w:rPr>
        <w:t xml:space="preserve"> чел</w:t>
      </w:r>
      <w:r w:rsidR="00A0101B" w:rsidRPr="00D876AF">
        <w:rPr>
          <w:rFonts w:ascii="Times New Roman" w:hAnsi="Times New Roman" w:cs="Times New Roman"/>
          <w:sz w:val="28"/>
          <w:szCs w:val="28"/>
        </w:rPr>
        <w:t>овек</w:t>
      </w:r>
      <w:r w:rsidRPr="00D876AF">
        <w:rPr>
          <w:rFonts w:ascii="Times New Roman" w:hAnsi="Times New Roman" w:cs="Times New Roman"/>
          <w:sz w:val="28"/>
          <w:szCs w:val="28"/>
        </w:rPr>
        <w:t xml:space="preserve"> занятых в сельском хозяйстве.</w:t>
      </w:r>
      <w:r w:rsidRPr="00A676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6AF" w:rsidRDefault="00B15957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территории сельского поселения и</w:t>
      </w:r>
      <w:r w:rsidR="00A00C50" w:rsidRPr="00A6769F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00C50" w:rsidRPr="00A6769F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 -</w:t>
      </w:r>
      <w:r w:rsidR="00A00C50" w:rsidRPr="00A6769F">
        <w:rPr>
          <w:rFonts w:ascii="Times New Roman" w:hAnsi="Times New Roman" w:cs="Times New Roman"/>
          <w:sz w:val="28"/>
          <w:szCs w:val="28"/>
        </w:rPr>
        <w:t xml:space="preserve"> </w:t>
      </w:r>
      <w:r w:rsidR="00A6769F" w:rsidRPr="00A6769F">
        <w:rPr>
          <w:rFonts w:ascii="Times New Roman" w:hAnsi="Times New Roman" w:cs="Times New Roman"/>
          <w:sz w:val="28"/>
          <w:szCs w:val="28"/>
        </w:rPr>
        <w:t>1</w:t>
      </w:r>
      <w:r w:rsidR="00A00C50" w:rsidRPr="00A6769F">
        <w:rPr>
          <w:rFonts w:ascii="Times New Roman" w:hAnsi="Times New Roman" w:cs="Times New Roman"/>
          <w:sz w:val="28"/>
          <w:szCs w:val="28"/>
        </w:rPr>
        <w:t xml:space="preserve"> молочно-товарн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00C50" w:rsidRPr="00A6769F">
        <w:rPr>
          <w:rFonts w:ascii="Times New Roman" w:hAnsi="Times New Roman" w:cs="Times New Roman"/>
          <w:sz w:val="28"/>
          <w:szCs w:val="28"/>
        </w:rPr>
        <w:t xml:space="preserve"> ферм</w:t>
      </w:r>
      <w:r>
        <w:rPr>
          <w:rFonts w:ascii="Times New Roman" w:hAnsi="Times New Roman" w:cs="Times New Roman"/>
          <w:sz w:val="28"/>
          <w:szCs w:val="28"/>
        </w:rPr>
        <w:t xml:space="preserve">а; </w:t>
      </w:r>
      <w:r w:rsidR="00A00C50" w:rsidRPr="00A6769F">
        <w:rPr>
          <w:rFonts w:ascii="Times New Roman" w:hAnsi="Times New Roman" w:cs="Times New Roman"/>
          <w:sz w:val="28"/>
          <w:szCs w:val="28"/>
        </w:rPr>
        <w:t>бригады по возделыванию сельскохозяйственных культур. Обрабатывается 4172,9 га земли, в том числе арендной муниципальной земли 429,0</w:t>
      </w:r>
      <w:r w:rsidR="00896786">
        <w:rPr>
          <w:rFonts w:ascii="Times New Roman" w:hAnsi="Times New Roman" w:cs="Times New Roman"/>
          <w:sz w:val="28"/>
          <w:szCs w:val="28"/>
        </w:rPr>
        <w:t xml:space="preserve"> </w:t>
      </w:r>
      <w:r w:rsidR="00A00C50" w:rsidRPr="00A6769F">
        <w:rPr>
          <w:rFonts w:ascii="Times New Roman" w:hAnsi="Times New Roman" w:cs="Times New Roman"/>
          <w:sz w:val="28"/>
          <w:szCs w:val="28"/>
        </w:rPr>
        <w:t xml:space="preserve">га. </w:t>
      </w:r>
    </w:p>
    <w:p w:rsidR="005C221D" w:rsidRPr="005C221D" w:rsidRDefault="005C221D" w:rsidP="00BA67A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 и</w:t>
      </w:r>
      <w:r w:rsidRPr="00A6769F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6769F">
        <w:rPr>
          <w:rFonts w:ascii="Times New Roman" w:hAnsi="Times New Roman" w:cs="Times New Roman"/>
          <w:sz w:val="28"/>
          <w:szCs w:val="28"/>
        </w:rPr>
        <w:t>тся</w:t>
      </w: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бюджетные учреждения: детский сад (на 117 мест), школа (на 500 учащихся), больница на 40 койко-мест, СДК, аптека, администрация в которых работает 135 чел.</w:t>
      </w:r>
    </w:p>
    <w:p w:rsidR="005C221D" w:rsidRPr="005C221D" w:rsidRDefault="005C221D" w:rsidP="00BA67A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Малый бизнес представлен предприятиями торговли и промышленности:  15 магазинов, 1 маслобойня,  1 магазин по реализации строительных материалов и предметов ритуальных услуг, 2 – ремонт бытовых изделий, 1 СТО, 1 закусочная.</w:t>
      </w:r>
    </w:p>
    <w:p w:rsidR="005C221D" w:rsidRPr="005C221D" w:rsidRDefault="005C221D" w:rsidP="00BA67A1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 же осуществляют свою деятельность 32  крестья</w:t>
      </w:r>
      <w:r w:rsidR="007E5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нских (фермерских) хозяйств и три </w:t>
      </w:r>
      <w:proofErr w:type="gramStart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</w:t>
      </w:r>
      <w:proofErr w:type="gramEnd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которые обрабатывают 1613,51 га земли, в том числе арендной муниципальной земли 598,6 га.  </w:t>
      </w:r>
    </w:p>
    <w:p w:rsidR="005C221D" w:rsidRPr="005C221D" w:rsidRDefault="005C221D" w:rsidP="00BA67A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результате строгого соблюдения технологии возделывания сельскохозяйственных культур, повышения культуры земледелия и улучшения плодородия почвы,  стабильно  высокие урожаи сельскохозяйств</w:t>
      </w:r>
      <w:r w:rsidR="007E57D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енных культур получают крестьянские хозяйства поселения.</w:t>
      </w: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Средняя урожайность в ЗАО Агрофирма «Дружба» составила по ячменю  52,94  ц с га, </w:t>
      </w:r>
      <w:proofErr w:type="spellStart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оз</w:t>
      </w:r>
      <w:proofErr w:type="gramStart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.п</w:t>
      </w:r>
      <w:proofErr w:type="gramEnd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шенице</w:t>
      </w:r>
      <w:proofErr w:type="spellEnd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59,62 ц с га, подсолнечник 19,22 ц с га, кукуруза 58,1 ц с га., свекла 593,59 ц с га.</w:t>
      </w:r>
    </w:p>
    <w:p w:rsidR="005C221D" w:rsidRPr="005C221D" w:rsidRDefault="005C221D" w:rsidP="00BA67A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Большое внимание уделяется развитию личных подсобных хозяйств, которых в поселении - 1029. В аренду под огороды  выделено 34</w:t>
      </w:r>
      <w:r w:rsidR="007E5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га   земли для 311 ЛПХ,</w:t>
      </w:r>
      <w:r w:rsidR="007E5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 выпас скота  выделено 148 га земли 120 ЛПХ, под ЛПХ – 43 га для 81 чел.</w:t>
      </w:r>
    </w:p>
    <w:p w:rsidR="005C221D" w:rsidRPr="005C221D" w:rsidRDefault="005C221D" w:rsidP="00BA67A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ЛПХ  имеется: </w:t>
      </w:r>
      <w:proofErr w:type="gramStart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КРС – 278 голов, в </w:t>
      </w:r>
      <w:proofErr w:type="spellStart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5C22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коров – 158 голов; свиней – 20 голов, овец и коз – 80 голов; кролики – 200 голов; нутрии – 400 голов; птицы 11000 голов; пчелосемьи 110. </w:t>
      </w:r>
      <w:proofErr w:type="gramEnd"/>
    </w:p>
    <w:p w:rsidR="00D876AF" w:rsidRDefault="00D876AF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A00C50" w:rsidRPr="00557CA0" w:rsidRDefault="00A00C50" w:rsidP="00767438">
      <w:pPr>
        <w:pStyle w:val="ad"/>
        <w:numPr>
          <w:ilvl w:val="0"/>
          <w:numId w:val="31"/>
        </w:num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CA0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проекта решения Совета </w:t>
      </w:r>
      <w:proofErr w:type="spellStart"/>
      <w:r w:rsidRPr="0055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Геймановского</w:t>
      </w:r>
      <w:proofErr w:type="spellEnd"/>
      <w:r w:rsidRPr="00557C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 «Об исполнении бюджета </w:t>
      </w:r>
      <w:proofErr w:type="spellStart"/>
      <w:r w:rsidRPr="0055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Геймановского</w:t>
      </w:r>
      <w:proofErr w:type="spellEnd"/>
      <w:r w:rsidRPr="00557C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 за 201</w:t>
      </w:r>
      <w:r w:rsidR="000F4A37">
        <w:rPr>
          <w:rFonts w:ascii="Times New Roman" w:hAnsi="Times New Roman" w:cs="Times New Roman"/>
          <w:b/>
          <w:sz w:val="28"/>
          <w:szCs w:val="28"/>
        </w:rPr>
        <w:t>4</w:t>
      </w:r>
      <w:r w:rsidRPr="00557CA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47F51">
        <w:rPr>
          <w:rFonts w:ascii="Times New Roman" w:hAnsi="Times New Roman" w:cs="Times New Roman"/>
          <w:b/>
          <w:sz w:val="28"/>
          <w:szCs w:val="28"/>
        </w:rPr>
        <w:t>»</w:t>
      </w:r>
    </w:p>
    <w:p w:rsidR="00EF3D9B" w:rsidRPr="00EF3D9B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Представленный на экспертизу пакет документов имеет необходимые приложения, что соответствует </w:t>
      </w:r>
      <w:r w:rsidR="001C0009" w:rsidRPr="001C0009">
        <w:rPr>
          <w:rFonts w:ascii="Times New Roman" w:hAnsi="Times New Roman" w:cs="Times New Roman"/>
          <w:sz w:val="28"/>
          <w:szCs w:val="28"/>
        </w:rPr>
        <w:t>ст. 41</w:t>
      </w:r>
      <w:r w:rsidRPr="00EF3D9B">
        <w:rPr>
          <w:rFonts w:ascii="Times New Roman" w:hAnsi="Times New Roman" w:cs="Times New Roman"/>
          <w:sz w:val="28"/>
          <w:szCs w:val="28"/>
        </w:rPr>
        <w:t xml:space="preserve">  Положения о бюджетном процессе в </w:t>
      </w:r>
      <w:proofErr w:type="spellStart"/>
      <w:r w:rsidR="00557CA0"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сельском поселении Тбилисского     района,     утвержденного  решением </w:t>
      </w:r>
      <w:r w:rsidRPr="00EF3D9B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proofErr w:type="spellStart"/>
      <w:r w:rsidR="00557CA0"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от 28.</w:t>
      </w:r>
      <w:r w:rsidR="00557CA0">
        <w:rPr>
          <w:rFonts w:ascii="Times New Roman" w:hAnsi="Times New Roman" w:cs="Times New Roman"/>
          <w:sz w:val="28"/>
          <w:szCs w:val="28"/>
        </w:rPr>
        <w:t>10</w:t>
      </w:r>
      <w:r w:rsidRPr="00EF3D9B">
        <w:rPr>
          <w:rFonts w:ascii="Times New Roman" w:hAnsi="Times New Roman" w:cs="Times New Roman"/>
          <w:sz w:val="28"/>
          <w:szCs w:val="28"/>
        </w:rPr>
        <w:t>.201</w:t>
      </w:r>
      <w:r w:rsidR="00557CA0">
        <w:rPr>
          <w:rFonts w:ascii="Times New Roman" w:hAnsi="Times New Roman" w:cs="Times New Roman"/>
          <w:sz w:val="28"/>
          <w:szCs w:val="28"/>
        </w:rPr>
        <w:t>3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г.  № </w:t>
      </w:r>
      <w:r w:rsidR="00557CA0">
        <w:rPr>
          <w:rFonts w:ascii="Times New Roman" w:hAnsi="Times New Roman" w:cs="Times New Roman"/>
          <w:sz w:val="28"/>
          <w:szCs w:val="28"/>
        </w:rPr>
        <w:t>528</w:t>
      </w:r>
      <w:r w:rsidRPr="00EF3D9B">
        <w:rPr>
          <w:rFonts w:ascii="Times New Roman" w:hAnsi="Times New Roman" w:cs="Times New Roman"/>
          <w:sz w:val="28"/>
          <w:szCs w:val="28"/>
        </w:rPr>
        <w:t xml:space="preserve"> и ст. 264</w:t>
      </w:r>
      <w:r w:rsidRPr="00767438">
        <w:rPr>
          <w:rFonts w:ascii="Times New Roman" w:hAnsi="Times New Roman" w:cs="Times New Roman"/>
          <w:sz w:val="28"/>
          <w:szCs w:val="28"/>
        </w:rPr>
        <w:t xml:space="preserve">6 </w:t>
      </w:r>
      <w:r w:rsidRPr="00EF3D9B">
        <w:rPr>
          <w:rFonts w:ascii="Times New Roman" w:hAnsi="Times New Roman" w:cs="Times New Roman"/>
          <w:sz w:val="28"/>
          <w:szCs w:val="28"/>
        </w:rPr>
        <w:t>Бюджетного кодекса РФ:</w:t>
      </w:r>
    </w:p>
    <w:p w:rsidR="00EF3D9B" w:rsidRPr="00EF3D9B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lastRenderedPageBreak/>
        <w:t>1)  проект решения  «Об исполнении</w:t>
      </w:r>
      <w:r w:rsidR="002857EF">
        <w:rPr>
          <w:rFonts w:ascii="Times New Roman" w:hAnsi="Times New Roman" w:cs="Times New Roman"/>
          <w:sz w:val="28"/>
          <w:szCs w:val="28"/>
        </w:rPr>
        <w:t xml:space="preserve">  бюджета </w:t>
      </w:r>
      <w:proofErr w:type="spellStart"/>
      <w:r w:rsidR="002857EF"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2014 год;</w:t>
      </w:r>
    </w:p>
    <w:p w:rsidR="00EF3D9B" w:rsidRPr="00767438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2) Приложение № 1  «Исполнение бюджета по доходам </w:t>
      </w:r>
      <w:proofErr w:type="spellStart"/>
      <w:r w:rsidR="002857EF"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767438">
        <w:rPr>
          <w:rFonts w:ascii="Times New Roman" w:hAnsi="Times New Roman" w:cs="Times New Roman"/>
          <w:sz w:val="28"/>
          <w:szCs w:val="28"/>
        </w:rPr>
        <w:t>на 201</w:t>
      </w:r>
      <w:r w:rsidR="00557CA0" w:rsidRPr="00767438">
        <w:rPr>
          <w:rFonts w:ascii="Times New Roman" w:hAnsi="Times New Roman" w:cs="Times New Roman"/>
          <w:sz w:val="28"/>
          <w:szCs w:val="28"/>
        </w:rPr>
        <w:t>4</w:t>
      </w:r>
      <w:r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EF3D9B" w:rsidRPr="00767438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3) Приложение №2 «Исполнение бюджета по доходам </w:t>
      </w:r>
      <w:proofErr w:type="spellStart"/>
      <w:r w:rsidR="00557CA0"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767438">
        <w:rPr>
          <w:rFonts w:ascii="Times New Roman" w:hAnsi="Times New Roman" w:cs="Times New Roman"/>
          <w:sz w:val="28"/>
          <w:szCs w:val="28"/>
        </w:rPr>
        <w:t xml:space="preserve">за 2014 год в разрезе кодов доходов»;               </w:t>
      </w:r>
    </w:p>
    <w:p w:rsidR="00EF3D9B" w:rsidRPr="00767438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4) Приложение № 3 «Исполнение бюджета </w:t>
      </w:r>
      <w:proofErr w:type="spellStart"/>
      <w:r w:rsidR="00557CA0"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767438">
        <w:rPr>
          <w:rFonts w:ascii="Times New Roman" w:hAnsi="Times New Roman" w:cs="Times New Roman"/>
          <w:sz w:val="28"/>
          <w:szCs w:val="28"/>
        </w:rPr>
        <w:t>по расходам по  разделам и подразделам за 2014</w:t>
      </w:r>
      <w:r w:rsidR="00557CA0" w:rsidRPr="00767438">
        <w:rPr>
          <w:rFonts w:ascii="Times New Roman" w:hAnsi="Times New Roman" w:cs="Times New Roman"/>
          <w:sz w:val="28"/>
          <w:szCs w:val="28"/>
        </w:rPr>
        <w:t xml:space="preserve"> год</w:t>
      </w:r>
      <w:r w:rsidRPr="00767438">
        <w:rPr>
          <w:rFonts w:ascii="Times New Roman" w:hAnsi="Times New Roman" w:cs="Times New Roman"/>
          <w:sz w:val="28"/>
          <w:szCs w:val="28"/>
        </w:rPr>
        <w:t>»;</w:t>
      </w:r>
    </w:p>
    <w:p w:rsidR="00010745" w:rsidRPr="00767438" w:rsidRDefault="00010745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5) Приложение № 4 «Исполнение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767438">
        <w:rPr>
          <w:rFonts w:ascii="Times New Roman" w:hAnsi="Times New Roman" w:cs="Times New Roman"/>
          <w:sz w:val="28"/>
          <w:szCs w:val="28"/>
        </w:rPr>
        <w:t>по ведомственной структуре расходов за 2014 год»;</w:t>
      </w:r>
    </w:p>
    <w:p w:rsidR="00EF3D9B" w:rsidRPr="00EF3D9B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6) Приложение  № 5 </w:t>
      </w:r>
      <w:r w:rsidRPr="00EF3D9B">
        <w:rPr>
          <w:rFonts w:ascii="Times New Roman" w:hAnsi="Times New Roman" w:cs="Times New Roman"/>
          <w:sz w:val="28"/>
          <w:szCs w:val="28"/>
        </w:rPr>
        <w:t>«</w:t>
      </w:r>
      <w:r w:rsidRPr="00767438">
        <w:rPr>
          <w:rFonts w:ascii="Times New Roman" w:hAnsi="Times New Roman" w:cs="Times New Roman"/>
          <w:sz w:val="28"/>
          <w:szCs w:val="28"/>
        </w:rPr>
        <w:t>Исполнение  по  источникам финансирования дефицита местного бюджета з</w:t>
      </w:r>
      <w:r w:rsidRPr="00EF3D9B">
        <w:rPr>
          <w:rFonts w:ascii="Times New Roman" w:hAnsi="Times New Roman" w:cs="Times New Roman"/>
          <w:sz w:val="28"/>
          <w:szCs w:val="28"/>
        </w:rPr>
        <w:t>а 2014 год»;</w:t>
      </w:r>
    </w:p>
    <w:p w:rsidR="00EF3D9B" w:rsidRPr="00767438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>7</w:t>
      </w:r>
      <w:r w:rsidRPr="00010745">
        <w:rPr>
          <w:rFonts w:ascii="Times New Roman" w:hAnsi="Times New Roman" w:cs="Times New Roman"/>
          <w:sz w:val="28"/>
          <w:szCs w:val="28"/>
        </w:rPr>
        <w:t xml:space="preserve">) </w:t>
      </w:r>
      <w:r w:rsidRPr="00767438">
        <w:rPr>
          <w:rFonts w:ascii="Times New Roman" w:hAnsi="Times New Roman" w:cs="Times New Roman"/>
          <w:sz w:val="28"/>
          <w:szCs w:val="28"/>
        </w:rPr>
        <w:t>Приложение  № 6 «</w:t>
      </w:r>
      <w:r w:rsidR="00010745" w:rsidRPr="00767438">
        <w:rPr>
          <w:rFonts w:ascii="Times New Roman" w:hAnsi="Times New Roman" w:cs="Times New Roman"/>
          <w:sz w:val="28"/>
          <w:szCs w:val="28"/>
        </w:rPr>
        <w:t xml:space="preserve">Исполнение  по  источникам финансирования дефицита  бюджета </w:t>
      </w:r>
      <w:proofErr w:type="spellStart"/>
      <w:r w:rsidR="00010745" w:rsidRPr="00767438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010745" w:rsidRPr="00767438">
        <w:rPr>
          <w:rFonts w:ascii="Times New Roman" w:hAnsi="Times New Roman" w:cs="Times New Roman"/>
          <w:sz w:val="28"/>
          <w:szCs w:val="28"/>
        </w:rPr>
        <w:t xml:space="preserve"> сельского поселения по кодам групп, подгрупп, статей, видов источников финансирования дефицитов бюджетов</w:t>
      </w:r>
      <w:r w:rsidRPr="00767438">
        <w:rPr>
          <w:rFonts w:ascii="Times New Roman" w:hAnsi="Times New Roman" w:cs="Times New Roman"/>
          <w:sz w:val="28"/>
          <w:szCs w:val="28"/>
        </w:rPr>
        <w:t xml:space="preserve"> за 2014 год»;</w:t>
      </w:r>
    </w:p>
    <w:p w:rsidR="00EF3D9B" w:rsidRPr="00767438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10745">
        <w:rPr>
          <w:rFonts w:ascii="Times New Roman" w:hAnsi="Times New Roman" w:cs="Times New Roman"/>
          <w:sz w:val="28"/>
          <w:szCs w:val="28"/>
        </w:rPr>
        <w:t xml:space="preserve">8) </w:t>
      </w:r>
      <w:r w:rsidRPr="00767438">
        <w:rPr>
          <w:rFonts w:ascii="Times New Roman" w:hAnsi="Times New Roman" w:cs="Times New Roman"/>
          <w:sz w:val="28"/>
          <w:szCs w:val="28"/>
        </w:rPr>
        <w:t xml:space="preserve">Приложение №7 </w:t>
      </w:r>
      <w:r w:rsidRPr="00010745">
        <w:rPr>
          <w:rFonts w:ascii="Times New Roman" w:hAnsi="Times New Roman" w:cs="Times New Roman"/>
          <w:sz w:val="28"/>
          <w:szCs w:val="28"/>
        </w:rPr>
        <w:t>«</w:t>
      </w:r>
      <w:r w:rsidRPr="00767438">
        <w:rPr>
          <w:rFonts w:ascii="Times New Roman" w:hAnsi="Times New Roman" w:cs="Times New Roman"/>
          <w:sz w:val="28"/>
          <w:szCs w:val="28"/>
        </w:rPr>
        <w:t xml:space="preserve">Расходы бюджета  </w:t>
      </w:r>
      <w:proofErr w:type="spellStart"/>
      <w:r w:rsidR="00010745" w:rsidRPr="00010745">
        <w:rPr>
          <w:rFonts w:ascii="Times New Roman" w:hAnsi="Times New Roman" w:cs="Times New Roman"/>
          <w:sz w:val="28"/>
          <w:szCs w:val="28"/>
        </w:rPr>
        <w:t>Гейманов</w:t>
      </w:r>
      <w:r w:rsidRPr="0001074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010745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Pr="00767438">
        <w:rPr>
          <w:rFonts w:ascii="Times New Roman" w:hAnsi="Times New Roman" w:cs="Times New Roman"/>
          <w:sz w:val="28"/>
          <w:szCs w:val="28"/>
        </w:rPr>
        <w:t xml:space="preserve"> по исполнению целевых программ за 2014 год</w:t>
      </w:r>
      <w:r w:rsidRPr="00010745">
        <w:rPr>
          <w:rFonts w:ascii="Times New Roman" w:hAnsi="Times New Roman" w:cs="Times New Roman"/>
          <w:sz w:val="28"/>
          <w:szCs w:val="28"/>
        </w:rPr>
        <w:t>».</w:t>
      </w:r>
    </w:p>
    <w:p w:rsidR="00EF3D9B" w:rsidRPr="00767438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ab/>
        <w:t xml:space="preserve">По запросу контрольно-счетной палаты муниципального образования Тбилисский район, в соответствии со ст. 264.1, 264.6 </w:t>
      </w:r>
      <w:r w:rsidR="00010745" w:rsidRPr="00767438">
        <w:rPr>
          <w:rFonts w:ascii="Times New Roman" w:hAnsi="Times New Roman" w:cs="Times New Roman"/>
          <w:sz w:val="28"/>
          <w:szCs w:val="28"/>
        </w:rPr>
        <w:t xml:space="preserve">Бюджетного кодекса РФ, </w:t>
      </w:r>
      <w:r w:rsidRPr="00767438">
        <w:rPr>
          <w:rFonts w:ascii="Times New Roman" w:hAnsi="Times New Roman" w:cs="Times New Roman"/>
          <w:sz w:val="28"/>
          <w:szCs w:val="28"/>
        </w:rPr>
        <w:t xml:space="preserve"> ст. </w:t>
      </w:r>
      <w:r w:rsidR="00010745">
        <w:rPr>
          <w:rFonts w:ascii="Times New Roman" w:hAnsi="Times New Roman" w:cs="Times New Roman"/>
          <w:sz w:val="28"/>
          <w:szCs w:val="28"/>
        </w:rPr>
        <w:t>41</w:t>
      </w:r>
      <w:r w:rsidRPr="00557CA0">
        <w:rPr>
          <w:rFonts w:ascii="Times New Roman" w:hAnsi="Times New Roman" w:cs="Times New Roman"/>
          <w:sz w:val="28"/>
          <w:szCs w:val="28"/>
        </w:rPr>
        <w:t xml:space="preserve"> Положен</w:t>
      </w:r>
      <w:r w:rsidR="00010745">
        <w:rPr>
          <w:rFonts w:ascii="Times New Roman" w:hAnsi="Times New Roman" w:cs="Times New Roman"/>
          <w:sz w:val="28"/>
          <w:szCs w:val="28"/>
        </w:rPr>
        <w:t xml:space="preserve">ия о бюджетном процессе в </w:t>
      </w:r>
      <w:proofErr w:type="spellStart"/>
      <w:r w:rsidR="00010745">
        <w:rPr>
          <w:rFonts w:ascii="Times New Roman" w:hAnsi="Times New Roman" w:cs="Times New Roman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557CA0">
        <w:rPr>
          <w:rFonts w:ascii="Times New Roman" w:hAnsi="Times New Roman" w:cs="Times New Roman"/>
          <w:sz w:val="28"/>
          <w:szCs w:val="28"/>
        </w:rPr>
        <w:t xml:space="preserve"> сельском поселении, так же представлены:</w:t>
      </w:r>
    </w:p>
    <w:p w:rsidR="00EF3D9B" w:rsidRPr="00557CA0" w:rsidRDefault="00EF3D9B" w:rsidP="00767438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>1) Отчет об исполнении  бюджета  на 01 01.2015 года по форме 0503117;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>2) Баланс исполнения бюджета на 01.01.2014 года по форме 0503120;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>3) Отчет о финансовых результатах деятельности на 01.01.2015 года по форме 0503121;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 xml:space="preserve">4) Отчет о </w:t>
      </w:r>
      <w:r w:rsidR="00D47177">
        <w:rPr>
          <w:rFonts w:ascii="Times New Roman" w:hAnsi="Times New Roman" w:cs="Times New Roman"/>
          <w:sz w:val="28"/>
          <w:szCs w:val="28"/>
        </w:rPr>
        <w:t xml:space="preserve">движении денежных средств </w:t>
      </w:r>
      <w:proofErr w:type="spellStart"/>
      <w:r w:rsidR="00D47177">
        <w:rPr>
          <w:rFonts w:ascii="Times New Roman" w:hAnsi="Times New Roman" w:cs="Times New Roman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57CA0">
        <w:rPr>
          <w:rFonts w:ascii="Times New Roman" w:hAnsi="Times New Roman" w:cs="Times New Roman"/>
          <w:sz w:val="28"/>
          <w:szCs w:val="28"/>
        </w:rPr>
        <w:t xml:space="preserve"> сельского поселения на 01.01.2015 года по форме 0503123;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5)  Справка по консолидированным расчетам по форме 0503125;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6) Отчет о принятых</w:t>
      </w:r>
      <w:r w:rsidR="00D47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обязательствах </w:t>
      </w:r>
      <w:proofErr w:type="spellStart"/>
      <w:r w:rsidR="00D47177">
        <w:rPr>
          <w:rFonts w:ascii="Times New Roman" w:hAnsi="Times New Roman" w:cs="Times New Roman"/>
          <w:color w:val="000000" w:themeColor="text1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 01.01.2015 года по форме 0503128;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7) Сведения об изменениях бюджетной росписи по форме 0503163;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Сведения об исполнении бюджета </w:t>
      </w:r>
      <w:proofErr w:type="spellStart"/>
      <w:r w:rsidR="00D47177">
        <w:rPr>
          <w:rFonts w:ascii="Times New Roman" w:hAnsi="Times New Roman" w:cs="Times New Roman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57C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на 01.01.2015 года по форме 0503164;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9) Сведения по исполнению целевых программ за 2014 год в разрезе уровней бюджетов по форме 0503166;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10) Сведения о движении нефинансовых активов по форме 0503168;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11) Сведения о дебиторской и кредиторской задолженности по форме 0503169;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  Сведения о финансовых вложениях </w:t>
      </w:r>
      <w:proofErr w:type="gramStart"/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бюджетных средств администраторов  источников финансирования дефицита бюджета</w:t>
      </w:r>
      <w:proofErr w:type="gramEnd"/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0503171;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13) Сведения о государственном (муниципальном) долге представленных бюджетных кредитах по форме 0503172;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14)  Сведения об изменениях остатков валюты баланса по форме 0503173;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15) Сведения по ущербу, хищениям денежных средств и материальных ценностей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форме  ОКУД;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16) Сведения об использовании информационно-коммуникационных технологий по форме 0503177;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Сведения об остатках денежных средств на счетах получателя бюджетных средств по форме 0503178  на 01.01.2015 года;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18) Информация об обязательствах п</w:t>
      </w:r>
      <w:r w:rsidR="00010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муниципальным гарантиям </w:t>
      </w:r>
      <w:proofErr w:type="spellStart"/>
      <w:r w:rsidR="00010745">
        <w:rPr>
          <w:rFonts w:ascii="Times New Roman" w:hAnsi="Times New Roman" w:cs="Times New Roman"/>
          <w:color w:val="000000" w:themeColor="text1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01.01.2015 года;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19) 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об обязательствах по кредитам, полученным </w:t>
      </w:r>
      <w:r w:rsidR="00010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кредитных организаций  </w:t>
      </w:r>
      <w:proofErr w:type="spellStart"/>
      <w:r w:rsidR="00010745">
        <w:rPr>
          <w:rFonts w:ascii="Times New Roman" w:hAnsi="Times New Roman" w:cs="Times New Roman"/>
          <w:color w:val="000000" w:themeColor="text1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01.01.2015 года;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20)  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обязательствах по бюджетным  кредитам,</w:t>
      </w:r>
      <w:r w:rsidR="0082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привлеченным в бюджет   </w:t>
      </w:r>
      <w:proofErr w:type="spellStart"/>
      <w:r w:rsidR="00825458">
        <w:rPr>
          <w:rFonts w:ascii="Times New Roman" w:hAnsi="Times New Roman" w:cs="Times New Roman"/>
          <w:color w:val="000000" w:themeColor="text1"/>
          <w:sz w:val="28"/>
          <w:szCs w:val="28"/>
        </w:rPr>
        <w:t>Гейманов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 других бюджетов бюджетной системы РФ на 01.01.2015 г.;</w:t>
      </w:r>
    </w:p>
    <w:p w:rsidR="00EF3D9B" w:rsidRDefault="00F30948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="00EF3D9B"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2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Сведения о муниципальном долге </w:t>
      </w:r>
      <w:proofErr w:type="spellStart"/>
      <w:r w:rsidR="0082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Гейманов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01.01.2015 года</w:t>
      </w:r>
      <w:r w:rsidR="00EF3D9B"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30948" w:rsidRPr="00F30948" w:rsidRDefault="00F30948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22) </w:t>
      </w:r>
      <w:r w:rsidRPr="00F30948">
        <w:rPr>
          <w:rFonts w:ascii="Times New Roman" w:hAnsi="Times New Roman" w:cs="Times New Roman"/>
          <w:sz w:val="28"/>
          <w:szCs w:val="28"/>
        </w:rPr>
        <w:t>Приложение «Исполнение по Программе  муниципальных заимствований» за 2014 год;</w:t>
      </w:r>
    </w:p>
    <w:p w:rsidR="00EF3D9B" w:rsidRPr="00557CA0" w:rsidRDefault="00F30948" w:rsidP="00BA67A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F3D9B" w:rsidRPr="0055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Пояснительная записка к годовому отчету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="00EF3D9B" w:rsidRPr="00557CA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F3D9B" w:rsidRPr="00557C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F3D9B" w:rsidRPr="00557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01.01.2015 года по форме 0503160;</w:t>
      </w:r>
    </w:p>
    <w:p w:rsidR="00EF3D9B" w:rsidRPr="00557CA0" w:rsidRDefault="00F30948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EF3D9B"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Сведения о проведении инвентаризации на 01.01.2015 года;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краевого бюджета по форме 0503324К;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об исполнении текстовых статей решений о бюджете;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дебиторской задолженности на 01.01.2015 года;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кредиторской задолженности на 01.01.2015 года.</w:t>
      </w:r>
    </w:p>
    <w:p w:rsidR="00557CA0" w:rsidRDefault="00557CA0" w:rsidP="00BA6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D9B" w:rsidRPr="00EF3D9B" w:rsidRDefault="00EF3D9B" w:rsidP="00BA67A1">
      <w:pPr>
        <w:autoSpaceDE w:val="0"/>
        <w:autoSpaceDN w:val="0"/>
        <w:adjustRightInd w:val="0"/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A00C50" w:rsidP="00767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Исполне</w:t>
      </w:r>
      <w:r w:rsidR="00766558">
        <w:rPr>
          <w:rFonts w:ascii="Times New Roman" w:hAnsi="Times New Roman" w:cs="Times New Roman"/>
          <w:b/>
          <w:sz w:val="28"/>
          <w:szCs w:val="28"/>
        </w:rPr>
        <w:t>ние 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6558">
        <w:rPr>
          <w:rFonts w:ascii="Times New Roman" w:hAnsi="Times New Roman" w:cs="Times New Roman"/>
          <w:b/>
          <w:sz w:val="28"/>
          <w:szCs w:val="28"/>
        </w:rPr>
        <w:t>Геймановского</w:t>
      </w:r>
      <w:proofErr w:type="spellEnd"/>
      <w:r w:rsidR="0076655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2014 </w:t>
      </w:r>
      <w:r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6F32FA" w:rsidRPr="006F32FA" w:rsidRDefault="00A00C50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В результате  проведенного анализа  отчета об исполнении бюджета </w:t>
      </w:r>
      <w:proofErr w:type="spellStart"/>
      <w:r w:rsidR="006F32FA">
        <w:rPr>
          <w:rFonts w:ascii="Times New Roman" w:hAnsi="Times New Roman" w:cs="Times New Roman"/>
          <w:sz w:val="28"/>
          <w:szCs w:val="28"/>
        </w:rPr>
        <w:t>Гейманов</w:t>
      </w:r>
      <w:r w:rsidR="006F32FA"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за  2014 год установлено следующее:</w:t>
      </w:r>
    </w:p>
    <w:p w:rsidR="006F32FA" w:rsidRPr="006F32FA" w:rsidRDefault="006F32FA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1. Отчет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 2014 год»  подготовлен   по требуемой  форме  0503117 и представлен к проекту   </w:t>
      </w:r>
      <w:r w:rsidRPr="006F3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Pr="006F32F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Тбилисский район  за  2014 год» в составе требуемых  приложений.</w:t>
      </w:r>
    </w:p>
    <w:p w:rsidR="006F32FA" w:rsidRPr="006F32FA" w:rsidRDefault="006F32FA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содержит  данные об исполнении бюджета по доходам, расходам и источникам финансирования  дефицита бюджета.                                                                                            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Бюджет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 поселения  на 2014 г</w:t>
      </w:r>
      <w:r w:rsidR="0016375E">
        <w:rPr>
          <w:rFonts w:ascii="Times New Roman" w:hAnsi="Times New Roman" w:cs="Times New Roman"/>
          <w:sz w:val="28"/>
          <w:szCs w:val="28"/>
        </w:rPr>
        <w:t xml:space="preserve">од принят Решением совета </w:t>
      </w:r>
      <w:proofErr w:type="spellStart"/>
      <w:r w:rsidR="0016375E"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163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2013 года № </w:t>
      </w:r>
      <w:r w:rsidR="0016375E">
        <w:rPr>
          <w:rFonts w:ascii="Times New Roman" w:eastAsia="Times New Roman" w:hAnsi="Times New Roman" w:cs="Times New Roman"/>
          <w:sz w:val="28"/>
          <w:szCs w:val="28"/>
          <w:lang w:eastAsia="ru-RU"/>
        </w:rPr>
        <w:t>554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</w:t>
      </w:r>
      <w:r w:rsidRPr="006F32FA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:rsidR="006F32FA" w:rsidRPr="006F32FA" w:rsidRDefault="0016375E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–  11117,7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Общий объем р</w:t>
      </w:r>
      <w:r w:rsidR="0016375E">
        <w:rPr>
          <w:rFonts w:ascii="Times New Roman" w:hAnsi="Times New Roman" w:cs="Times New Roman"/>
          <w:sz w:val="28"/>
          <w:szCs w:val="28"/>
        </w:rPr>
        <w:t>асходов – 11117,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Пр</w:t>
      </w:r>
      <w:r w:rsidR="0016375E">
        <w:rPr>
          <w:rFonts w:ascii="Times New Roman" w:hAnsi="Times New Roman" w:cs="Times New Roman"/>
          <w:sz w:val="28"/>
          <w:szCs w:val="28"/>
        </w:rPr>
        <w:t>официт бюджета        -     0</w:t>
      </w:r>
      <w:r w:rsidRPr="006F32FA">
        <w:rPr>
          <w:rFonts w:ascii="Times New Roman" w:hAnsi="Times New Roman" w:cs="Times New Roman"/>
          <w:sz w:val="28"/>
          <w:szCs w:val="28"/>
        </w:rPr>
        <w:t>,0 тыс. руб.,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последующими  изменениями </w:t>
      </w:r>
      <w:r w:rsidR="00C210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31 декабря 2014 года № 32</w:t>
      </w:r>
      <w:r w:rsidRPr="006F32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6F32FA" w:rsidRPr="006F32FA" w:rsidRDefault="00C210A3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–  14532,2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C210A3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расходов –15953,6 </w:t>
      </w:r>
      <w:r w:rsidR="006F32FA" w:rsidRPr="006F32FA">
        <w:rPr>
          <w:rFonts w:ascii="Times New Roman" w:hAnsi="Times New Roman" w:cs="Times New Roman"/>
          <w:sz w:val="28"/>
          <w:szCs w:val="28"/>
        </w:rPr>
        <w:t>тыс. руб.</w:t>
      </w:r>
    </w:p>
    <w:p w:rsidR="006F32FA" w:rsidRPr="006F32FA" w:rsidRDefault="0016375E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фицит бюджета  </w:t>
      </w:r>
      <w:r>
        <w:rPr>
          <w:rFonts w:ascii="Times New Roman" w:hAnsi="Times New Roman" w:cs="Times New Roman"/>
          <w:sz w:val="28"/>
          <w:szCs w:val="28"/>
        </w:rPr>
        <w:t xml:space="preserve">         -  1421,5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6558">
        <w:rPr>
          <w:rFonts w:ascii="Times New Roman" w:hAnsi="Times New Roman" w:cs="Times New Roman"/>
          <w:sz w:val="28"/>
          <w:szCs w:val="28"/>
        </w:rPr>
        <w:t>Средства, поступ</w:t>
      </w:r>
      <w:r w:rsidR="00766558" w:rsidRPr="00766558">
        <w:rPr>
          <w:rFonts w:ascii="Times New Roman" w:hAnsi="Times New Roman" w:cs="Times New Roman"/>
          <w:sz w:val="28"/>
          <w:szCs w:val="28"/>
        </w:rPr>
        <w:t>ающие из краевого</w:t>
      </w:r>
      <w:r w:rsidRPr="00766558">
        <w:rPr>
          <w:rFonts w:ascii="Times New Roman" w:hAnsi="Times New Roman" w:cs="Times New Roman"/>
          <w:sz w:val="28"/>
          <w:szCs w:val="28"/>
        </w:rPr>
        <w:t xml:space="preserve"> </w:t>
      </w:r>
      <w:r w:rsidR="00766558" w:rsidRPr="00766558">
        <w:rPr>
          <w:rFonts w:ascii="Times New Roman" w:hAnsi="Times New Roman" w:cs="Times New Roman"/>
          <w:sz w:val="28"/>
          <w:szCs w:val="28"/>
        </w:rPr>
        <w:t xml:space="preserve">бюджета, утверждены в сумме 4719,6 </w:t>
      </w:r>
      <w:proofErr w:type="spellStart"/>
      <w:r w:rsidR="00766558" w:rsidRPr="007665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66558">
        <w:rPr>
          <w:rFonts w:ascii="Times New Roman" w:hAnsi="Times New Roman" w:cs="Times New Roman"/>
          <w:sz w:val="28"/>
          <w:szCs w:val="28"/>
        </w:rPr>
        <w:t>.</w:t>
      </w:r>
    </w:p>
    <w:p w:rsidR="006F32FA" w:rsidRPr="006F32FA" w:rsidRDefault="0016375E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поселения за    2014 год по основным показателям   приведен в табл. 1: </w:t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Табл.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992"/>
      </w:tblGrid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6F50">
              <w:rPr>
                <w:rFonts w:ascii="Times New Roman" w:hAnsi="Times New Roman" w:cs="Times New Roman"/>
                <w:b/>
                <w:sz w:val="24"/>
                <w:szCs w:val="24"/>
              </w:rPr>
              <w:t>0.12.13 №554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С учетом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</w:t>
            </w:r>
          </w:p>
          <w:p w:rsidR="006F32FA" w:rsidRPr="006F32FA" w:rsidRDefault="00C913BD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B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256F50" w:rsidRPr="00C913BD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C913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56F50" w:rsidRPr="00C913BD">
              <w:rPr>
                <w:rFonts w:ascii="Times New Roman" w:hAnsi="Times New Roman" w:cs="Times New Roman"/>
                <w:b/>
                <w:sz w:val="24"/>
                <w:szCs w:val="24"/>
              </w:rPr>
              <w:t>.14 №</w:t>
            </w:r>
            <w:r w:rsidRPr="00C913B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.+,-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7278,6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6475,9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3D51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6626,4</w:t>
            </w:r>
          </w:p>
        </w:tc>
        <w:tc>
          <w:tcPr>
            <w:tcW w:w="1134" w:type="dxa"/>
          </w:tcPr>
          <w:p w:rsidR="006F32FA" w:rsidRPr="006F32FA" w:rsidRDefault="003D51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+150,5</w:t>
            </w:r>
          </w:p>
        </w:tc>
        <w:tc>
          <w:tcPr>
            <w:tcW w:w="992" w:type="dxa"/>
          </w:tcPr>
          <w:p w:rsidR="006F32FA" w:rsidRPr="006F32FA" w:rsidRDefault="003D51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2660,0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3336,7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3D51B6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3430,9</w:t>
            </w:r>
          </w:p>
        </w:tc>
        <w:tc>
          <w:tcPr>
            <w:tcW w:w="1134" w:type="dxa"/>
          </w:tcPr>
          <w:p w:rsidR="006F32FA" w:rsidRPr="006F32FA" w:rsidRDefault="003D51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+94,2</w:t>
            </w:r>
          </w:p>
        </w:tc>
        <w:tc>
          <w:tcPr>
            <w:tcW w:w="992" w:type="dxa"/>
          </w:tcPr>
          <w:p w:rsidR="006F32FA" w:rsidRPr="006F32FA" w:rsidRDefault="006F32F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D51B6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 xml:space="preserve">Всего налоговых и неналоговых </w:t>
            </w:r>
            <w:r w:rsidRPr="006F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</w:t>
            </w:r>
          </w:p>
        </w:tc>
        <w:tc>
          <w:tcPr>
            <w:tcW w:w="1418" w:type="dxa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9938,6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9812,6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10057,3</w:t>
            </w:r>
          </w:p>
        </w:tc>
        <w:tc>
          <w:tcPr>
            <w:tcW w:w="1134" w:type="dxa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+2</w:t>
            </w:r>
            <w:r w:rsidR="003D51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6F32FA" w:rsidRPr="006F32FA" w:rsidRDefault="00C878F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100,5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418" w:type="dxa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1179,1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173B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4219,5</w:t>
            </w:r>
          </w:p>
        </w:tc>
        <w:tc>
          <w:tcPr>
            <w:tcW w:w="1134" w:type="dxa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-500,1</w:t>
            </w:r>
          </w:p>
        </w:tc>
        <w:tc>
          <w:tcPr>
            <w:tcW w:w="992" w:type="dxa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</w:tr>
      <w:tr w:rsidR="006F32FA" w:rsidRPr="006F32FA" w:rsidTr="006F32FA">
        <w:tc>
          <w:tcPr>
            <w:tcW w:w="567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11117,7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4532,2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14276,8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-255,4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98,2</w:t>
            </w:r>
          </w:p>
        </w:tc>
      </w:tr>
      <w:tr w:rsidR="006F32FA" w:rsidRPr="006F32FA" w:rsidTr="006F32FA">
        <w:tc>
          <w:tcPr>
            <w:tcW w:w="567" w:type="dxa"/>
            <w:shd w:val="clear" w:color="auto" w:fill="D6E3BC" w:themeFill="accent3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11117,7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4F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953,6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13996,4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-1957,2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6F32FA" w:rsidRPr="006F32FA" w:rsidRDefault="000028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87,7</w:t>
            </w:r>
          </w:p>
        </w:tc>
      </w:tr>
      <w:tr w:rsidR="006F32FA" w:rsidRPr="006F32FA" w:rsidTr="006F32FA">
        <w:tc>
          <w:tcPr>
            <w:tcW w:w="567" w:type="dxa"/>
            <w:shd w:val="clear" w:color="auto" w:fill="FBD4B4" w:themeFill="accent6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6F32FA" w:rsidRPr="006F32FA" w:rsidRDefault="00256F50" w:rsidP="006F32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0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-1421,4</w:t>
            </w:r>
          </w:p>
          <w:p w:rsidR="006F32FA" w:rsidRPr="006F32FA" w:rsidRDefault="006F32F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6F32FA" w:rsidRPr="006F32FA" w:rsidRDefault="004F173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280,4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F32FA" w:rsidRPr="006F32FA" w:rsidRDefault="00C878F0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-1141,0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F32FA" w:rsidRPr="006F32FA" w:rsidRDefault="00C878F0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19,7</w:t>
            </w:r>
          </w:p>
        </w:tc>
      </w:tr>
    </w:tbl>
    <w:p w:rsidR="006F32FA" w:rsidRPr="006F32FA" w:rsidRDefault="006F32FA" w:rsidP="00DF1A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  <w:t>Из приведенных данных видно, что в те</w:t>
      </w:r>
      <w:r w:rsidR="00C878F0">
        <w:rPr>
          <w:rFonts w:ascii="Times New Roman" w:hAnsi="Times New Roman" w:cs="Times New Roman"/>
          <w:sz w:val="28"/>
          <w:szCs w:val="28"/>
        </w:rPr>
        <w:t xml:space="preserve">чение 2014 года в  бюджет </w:t>
      </w:r>
      <w:proofErr w:type="spellStart"/>
      <w:r w:rsidR="00C878F0"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поселения на 2014 год были внесены изменения, связанные с увеличением как доходной, так и расходной части бюджета. </w:t>
      </w:r>
      <w:proofErr w:type="gramStart"/>
      <w:r w:rsidRPr="006F32FA">
        <w:rPr>
          <w:rFonts w:ascii="Times New Roman" w:hAnsi="Times New Roman" w:cs="Times New Roman"/>
          <w:sz w:val="28"/>
          <w:szCs w:val="28"/>
        </w:rPr>
        <w:t>Последним изменением</w:t>
      </w:r>
      <w:r w:rsidRPr="00C913BD">
        <w:rPr>
          <w:rFonts w:ascii="Times New Roman" w:hAnsi="Times New Roman" w:cs="Times New Roman"/>
          <w:sz w:val="28"/>
          <w:szCs w:val="28"/>
        </w:rPr>
        <w:t xml:space="preserve">, </w:t>
      </w:r>
      <w:r w:rsidR="00C913BD" w:rsidRPr="00C913BD">
        <w:rPr>
          <w:rFonts w:ascii="Times New Roman" w:hAnsi="Times New Roman" w:cs="Times New Roman"/>
          <w:sz w:val="28"/>
          <w:szCs w:val="28"/>
        </w:rPr>
        <w:t>от 31</w:t>
      </w:r>
      <w:r w:rsidRPr="00C913BD">
        <w:rPr>
          <w:rFonts w:ascii="Times New Roman" w:hAnsi="Times New Roman" w:cs="Times New Roman"/>
          <w:sz w:val="28"/>
          <w:szCs w:val="28"/>
        </w:rPr>
        <w:t>.12.2014 г</w:t>
      </w:r>
      <w:r w:rsidR="00C913BD" w:rsidRPr="00C913BD">
        <w:rPr>
          <w:rFonts w:ascii="Times New Roman" w:hAnsi="Times New Roman" w:cs="Times New Roman"/>
          <w:sz w:val="28"/>
          <w:szCs w:val="28"/>
        </w:rPr>
        <w:t>ода № 32</w:t>
      </w:r>
      <w:r w:rsidR="00C913BD">
        <w:rPr>
          <w:rFonts w:ascii="Times New Roman" w:hAnsi="Times New Roman" w:cs="Times New Roman"/>
          <w:sz w:val="28"/>
          <w:szCs w:val="28"/>
        </w:rPr>
        <w:t>,</w:t>
      </w:r>
      <w:r w:rsidRPr="006F32FA">
        <w:rPr>
          <w:rFonts w:ascii="Times New Roman" w:hAnsi="Times New Roman" w:cs="Times New Roman"/>
          <w:sz w:val="28"/>
          <w:szCs w:val="28"/>
        </w:rPr>
        <w:t xml:space="preserve">   доходная ч</w:t>
      </w:r>
      <w:r w:rsidR="00C878F0">
        <w:rPr>
          <w:rFonts w:ascii="Times New Roman" w:hAnsi="Times New Roman" w:cs="Times New Roman"/>
          <w:sz w:val="28"/>
          <w:szCs w:val="28"/>
        </w:rPr>
        <w:t>асть бюджета  увеличена на 3414,5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снижен</w:t>
      </w:r>
      <w:r w:rsidR="00C878F0">
        <w:rPr>
          <w:rFonts w:ascii="Times New Roman" w:hAnsi="Times New Roman" w:cs="Times New Roman"/>
          <w:sz w:val="28"/>
          <w:szCs w:val="28"/>
        </w:rPr>
        <w:t>ия собственных доходов на 126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 и увеличения за счет безвозмездных поступлений из дру</w:t>
      </w:r>
      <w:r w:rsidR="00C878F0">
        <w:rPr>
          <w:rFonts w:ascii="Times New Roman" w:hAnsi="Times New Roman" w:cs="Times New Roman"/>
          <w:sz w:val="28"/>
          <w:szCs w:val="28"/>
        </w:rPr>
        <w:t>гих уровней бюджетов на  3540,5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  Под дополнительные доходы,   запланирован</w:t>
      </w:r>
      <w:r w:rsidR="00C878F0">
        <w:rPr>
          <w:rFonts w:ascii="Times New Roman" w:hAnsi="Times New Roman" w:cs="Times New Roman"/>
          <w:sz w:val="28"/>
          <w:szCs w:val="28"/>
        </w:rPr>
        <w:t>ы расходы,  с ростом на  4835,9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руб.,  пр</w:t>
      </w:r>
      <w:r w:rsidR="00C878F0">
        <w:rPr>
          <w:rFonts w:ascii="Times New Roman" w:hAnsi="Times New Roman" w:cs="Times New Roman"/>
          <w:sz w:val="28"/>
          <w:szCs w:val="28"/>
        </w:rPr>
        <w:t>и этом рост доходов составил 130,7</w:t>
      </w:r>
      <w:r w:rsidRPr="006F32FA">
        <w:rPr>
          <w:rFonts w:ascii="Times New Roman" w:hAnsi="Times New Roman" w:cs="Times New Roman"/>
          <w:sz w:val="28"/>
          <w:szCs w:val="28"/>
        </w:rPr>
        <w:t>,0</w:t>
      </w:r>
      <w:r w:rsidR="00C878F0">
        <w:rPr>
          <w:rFonts w:ascii="Times New Roman" w:hAnsi="Times New Roman" w:cs="Times New Roman"/>
          <w:sz w:val="28"/>
          <w:szCs w:val="28"/>
        </w:rPr>
        <w:t>%,  при  росте расходов</w:t>
      </w:r>
      <w:proofErr w:type="gramEnd"/>
      <w:r w:rsidR="00C878F0">
        <w:rPr>
          <w:rFonts w:ascii="Times New Roman" w:hAnsi="Times New Roman" w:cs="Times New Roman"/>
          <w:sz w:val="28"/>
          <w:szCs w:val="28"/>
        </w:rPr>
        <w:t xml:space="preserve"> на 143,5%,  результатом чего  стал  дефицит бюджета в сумме 1421,4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  <w:t>Изменение в сторону увеличения безвозмездных поступлений связано с планированием  в 2014 году сре</w:t>
      </w:r>
      <w:r w:rsidR="00BC2B95">
        <w:rPr>
          <w:rFonts w:ascii="Times New Roman" w:hAnsi="Times New Roman" w:cs="Times New Roman"/>
          <w:sz w:val="28"/>
          <w:szCs w:val="28"/>
        </w:rPr>
        <w:t xml:space="preserve">дств по финансированию краевых 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BC2B95">
        <w:rPr>
          <w:rFonts w:ascii="Times New Roman" w:hAnsi="Times New Roman" w:cs="Times New Roman"/>
          <w:sz w:val="28"/>
          <w:szCs w:val="28"/>
        </w:rPr>
        <w:t xml:space="preserve">целевых программ в сумме </w:t>
      </w:r>
      <w:r w:rsidR="00BC2B95" w:rsidRPr="00BC004A">
        <w:rPr>
          <w:rFonts w:ascii="Times New Roman" w:hAnsi="Times New Roman" w:cs="Times New Roman"/>
          <w:sz w:val="28"/>
          <w:szCs w:val="28"/>
        </w:rPr>
        <w:t>1628,4</w:t>
      </w:r>
      <w:r w:rsidRPr="00BC004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F32FA">
        <w:rPr>
          <w:rFonts w:ascii="Times New Roman" w:hAnsi="Times New Roman" w:cs="Times New Roman"/>
          <w:sz w:val="28"/>
          <w:szCs w:val="28"/>
        </w:rPr>
        <w:t xml:space="preserve"> руб., перечень и объемы программ представлены в таблице 2:      </w:t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табл. 2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7"/>
        <w:gridCol w:w="1559"/>
        <w:gridCol w:w="1559"/>
        <w:gridCol w:w="1276"/>
      </w:tblGrid>
      <w:tr w:rsidR="006F32FA" w:rsidRPr="006F32FA" w:rsidTr="006F32FA">
        <w:trPr>
          <w:cantSplit/>
          <w:trHeight w:val="866"/>
        </w:trPr>
        <w:tc>
          <w:tcPr>
            <w:tcW w:w="5567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программы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</w:t>
            </w:r>
            <w:r w:rsidR="00BC2B95">
              <w:rPr>
                <w:rFonts w:ascii="Times New Roman" w:hAnsi="Times New Roman" w:cs="Times New Roman"/>
                <w:sz w:val="24"/>
                <w:szCs w:val="24"/>
              </w:rPr>
              <w:t>014год решение от 10</w:t>
            </w: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.12.2013 г.</w:t>
            </w:r>
          </w:p>
          <w:p w:rsidR="006F32FA" w:rsidRPr="006F32FA" w:rsidRDefault="00BC2B95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554</w:t>
            </w:r>
          </w:p>
          <w:p w:rsidR="006F32FA" w:rsidRPr="006F32FA" w:rsidRDefault="006F32FA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С учетом внесенных изменений</w:t>
            </w:r>
          </w:p>
          <w:p w:rsidR="006F32FA" w:rsidRPr="009759C5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C913BD" w:rsidRPr="009759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759C5">
              <w:rPr>
                <w:rFonts w:ascii="Times New Roman" w:hAnsi="Times New Roman" w:cs="Times New Roman"/>
                <w:sz w:val="24"/>
                <w:szCs w:val="24"/>
              </w:rPr>
              <w:t>.12.2014 г.</w:t>
            </w:r>
          </w:p>
          <w:p w:rsidR="006F32FA" w:rsidRPr="006F32FA" w:rsidRDefault="00C913BD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6F32FA" w:rsidRPr="006F32FA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6F32FA" w:rsidRPr="006F32FA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</w:tr>
      <w:tr w:rsidR="006F32FA" w:rsidRPr="006F32FA" w:rsidTr="006F32FA">
        <w:trPr>
          <w:cantSplit/>
        </w:trPr>
        <w:tc>
          <w:tcPr>
            <w:tcW w:w="5567" w:type="dxa"/>
          </w:tcPr>
          <w:p w:rsidR="006F32FA" w:rsidRPr="006F32FA" w:rsidRDefault="006F32FA" w:rsidP="006F32FA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Краев</w:t>
            </w:r>
            <w:r w:rsidR="00BC2B95">
              <w:rPr>
                <w:rFonts w:ascii="Times New Roman" w:hAnsi="Times New Roman" w:cs="Times New Roman"/>
                <w:sz w:val="28"/>
                <w:szCs w:val="28"/>
              </w:rPr>
              <w:t xml:space="preserve">ая целевая программа «Развитие, ремонт и реконструкция системы водоснабжения </w:t>
            </w:r>
            <w:proofErr w:type="spellStart"/>
            <w:r w:rsidR="00BC2B95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="00BC2B9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</w:t>
            </w: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sz w:val="24"/>
                <w:szCs w:val="24"/>
              </w:rPr>
            </w:pPr>
            <w:r w:rsidRPr="006F32F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F32FA" w:rsidRPr="006F32FA" w:rsidRDefault="00BC2B95" w:rsidP="006F32FA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6F32FA" w:rsidRPr="006F32FA" w:rsidRDefault="00BC2B95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+500,0</w:t>
            </w:r>
          </w:p>
        </w:tc>
      </w:tr>
      <w:tr w:rsidR="006F32FA" w:rsidRPr="006F32FA" w:rsidTr="006F32FA">
        <w:trPr>
          <w:cantSplit/>
        </w:trPr>
        <w:tc>
          <w:tcPr>
            <w:tcW w:w="5567" w:type="dxa"/>
          </w:tcPr>
          <w:p w:rsidR="006F32FA" w:rsidRPr="006F32FA" w:rsidRDefault="006F32FA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BC2B95">
              <w:rPr>
                <w:rFonts w:ascii="Times New Roman" w:hAnsi="Times New Roman" w:cs="Times New Roman"/>
                <w:sz w:val="28"/>
                <w:szCs w:val="28"/>
              </w:rPr>
              <w:t xml:space="preserve">домственная целевая программа « Развитие культуры </w:t>
            </w:r>
            <w:proofErr w:type="spellStart"/>
            <w:r w:rsidR="00BC2B95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="00BC2B9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</w:t>
            </w: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sz w:val="24"/>
                <w:szCs w:val="24"/>
              </w:rPr>
            </w:pPr>
            <w:r w:rsidRPr="006F32F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F32FA" w:rsidRPr="006F32FA" w:rsidRDefault="00BC2B95" w:rsidP="006F32FA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1128,4</w:t>
            </w:r>
          </w:p>
        </w:tc>
        <w:tc>
          <w:tcPr>
            <w:tcW w:w="1276" w:type="dxa"/>
          </w:tcPr>
          <w:p w:rsidR="006F32FA" w:rsidRPr="006F32FA" w:rsidRDefault="00BC2B95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+1128,4</w:t>
            </w:r>
          </w:p>
        </w:tc>
      </w:tr>
      <w:tr w:rsidR="006F32FA" w:rsidRPr="006F32FA" w:rsidTr="006F32FA">
        <w:trPr>
          <w:cantSplit/>
        </w:trPr>
        <w:tc>
          <w:tcPr>
            <w:tcW w:w="5567" w:type="dxa"/>
          </w:tcPr>
          <w:p w:rsidR="006F32FA" w:rsidRPr="006F32FA" w:rsidRDefault="006F32FA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6F3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sz w:val="24"/>
                <w:szCs w:val="24"/>
              </w:rPr>
            </w:pPr>
            <w:r w:rsidRPr="006F32F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F32FA" w:rsidRPr="006F32FA" w:rsidRDefault="00BC2B95" w:rsidP="006F32FA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1628,4</w:t>
            </w:r>
          </w:p>
        </w:tc>
        <w:tc>
          <w:tcPr>
            <w:tcW w:w="1276" w:type="dxa"/>
          </w:tcPr>
          <w:p w:rsidR="006F32FA" w:rsidRPr="006F32FA" w:rsidRDefault="00BC2B95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+1628,4</w:t>
            </w:r>
          </w:p>
        </w:tc>
      </w:tr>
    </w:tbl>
    <w:p w:rsidR="006F32FA" w:rsidRPr="006F32FA" w:rsidRDefault="006F32FA" w:rsidP="006F32FA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бюджета </w:t>
      </w:r>
      <w:r w:rsidR="00C913BD">
        <w:rPr>
          <w:rFonts w:ascii="Times New Roman" w:hAnsi="Times New Roman" w:cs="Times New Roman"/>
          <w:sz w:val="28"/>
          <w:szCs w:val="28"/>
        </w:rPr>
        <w:t>по доходной части составило 98,2</w:t>
      </w:r>
      <w:r w:rsidRPr="006F32FA">
        <w:rPr>
          <w:rFonts w:ascii="Times New Roman" w:hAnsi="Times New Roman" w:cs="Times New Roman"/>
          <w:sz w:val="28"/>
          <w:szCs w:val="28"/>
        </w:rPr>
        <w:t xml:space="preserve"> %, в том числе  обеспечен  небольшой </w:t>
      </w:r>
      <w:r w:rsidR="00C913BD">
        <w:rPr>
          <w:rFonts w:ascii="Times New Roman" w:hAnsi="Times New Roman" w:cs="Times New Roman"/>
          <w:sz w:val="28"/>
          <w:szCs w:val="28"/>
        </w:rPr>
        <w:t>рост  собственных доходов на 244,7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руб., не дополучены доходы по поступлениям из других уровней б</w:t>
      </w:r>
      <w:r w:rsidR="00AE0721">
        <w:rPr>
          <w:rFonts w:ascii="Times New Roman" w:hAnsi="Times New Roman" w:cs="Times New Roman"/>
          <w:sz w:val="28"/>
          <w:szCs w:val="28"/>
        </w:rPr>
        <w:t>юджета на 10,6 %, или на 500,1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Исполнение бюджета п</w:t>
      </w:r>
      <w:r w:rsidR="00837133">
        <w:rPr>
          <w:rFonts w:ascii="Times New Roman" w:hAnsi="Times New Roman" w:cs="Times New Roman"/>
          <w:sz w:val="28"/>
          <w:szCs w:val="28"/>
        </w:rPr>
        <w:t>о расходной части составило 87,7</w:t>
      </w:r>
      <w:r w:rsidRPr="006F32FA">
        <w:rPr>
          <w:rFonts w:ascii="Times New Roman" w:hAnsi="Times New Roman" w:cs="Times New Roman"/>
          <w:sz w:val="28"/>
          <w:szCs w:val="28"/>
        </w:rPr>
        <w:t xml:space="preserve"> %, (табл.1), т.е. не произ</w:t>
      </w:r>
      <w:r w:rsidR="00837133">
        <w:rPr>
          <w:rFonts w:ascii="Times New Roman" w:hAnsi="Times New Roman" w:cs="Times New Roman"/>
          <w:sz w:val="28"/>
          <w:szCs w:val="28"/>
        </w:rPr>
        <w:t>ведены расходы на  сумму 1957,2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руб., в</w:t>
      </w:r>
      <w:r w:rsidR="00837133">
        <w:rPr>
          <w:rFonts w:ascii="Times New Roman" w:hAnsi="Times New Roman" w:cs="Times New Roman"/>
          <w:sz w:val="28"/>
          <w:szCs w:val="28"/>
        </w:rPr>
        <w:t xml:space="preserve"> результате чего образовался </w:t>
      </w:r>
      <w:r w:rsidRPr="006F32FA">
        <w:rPr>
          <w:rFonts w:ascii="Times New Roman" w:hAnsi="Times New Roman" w:cs="Times New Roman"/>
          <w:sz w:val="28"/>
          <w:szCs w:val="28"/>
        </w:rPr>
        <w:t xml:space="preserve"> профицит бюджета </w:t>
      </w:r>
      <w:r w:rsidR="00837133">
        <w:rPr>
          <w:rFonts w:ascii="Times New Roman" w:hAnsi="Times New Roman" w:cs="Times New Roman"/>
          <w:sz w:val="28"/>
          <w:szCs w:val="28"/>
        </w:rPr>
        <w:t>в сумме 280,4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Неисполнение расходной части бюджета (табл.3)  связано с разными причинами: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F32F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F32F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6F32F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F32FA">
        <w:rPr>
          <w:rFonts w:ascii="Times New Roman" w:hAnsi="Times New Roman" w:cs="Times New Roman"/>
          <w:sz w:val="28"/>
          <w:szCs w:val="28"/>
        </w:rPr>
        <w:t xml:space="preserve"> поступлением субсидий  на реализацию краевы</w:t>
      </w:r>
      <w:r w:rsidR="00837133">
        <w:rPr>
          <w:rFonts w:ascii="Times New Roman" w:hAnsi="Times New Roman" w:cs="Times New Roman"/>
          <w:sz w:val="28"/>
          <w:szCs w:val="28"/>
        </w:rPr>
        <w:t xml:space="preserve">х целевых программ в сумме </w:t>
      </w:r>
      <w:r w:rsidR="00837133" w:rsidRPr="00E74E1E">
        <w:rPr>
          <w:rFonts w:ascii="Times New Roman" w:hAnsi="Times New Roman" w:cs="Times New Roman"/>
          <w:sz w:val="28"/>
          <w:szCs w:val="28"/>
        </w:rPr>
        <w:t>931,7</w:t>
      </w:r>
      <w:r w:rsidRPr="00E74E1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6F32FA">
        <w:rPr>
          <w:rFonts w:ascii="Times New Roman" w:hAnsi="Times New Roman" w:cs="Times New Roman"/>
          <w:sz w:val="28"/>
          <w:szCs w:val="28"/>
        </w:rPr>
        <w:t>, муниципальных целевых программ –</w:t>
      </w:r>
      <w:r w:rsidR="00E74E1E" w:rsidRPr="00E74E1E">
        <w:rPr>
          <w:rFonts w:ascii="Times New Roman" w:hAnsi="Times New Roman" w:cs="Times New Roman"/>
          <w:sz w:val="28"/>
          <w:szCs w:val="28"/>
        </w:rPr>
        <w:t xml:space="preserve">129.4 </w:t>
      </w:r>
      <w:r w:rsidRPr="00E74E1E">
        <w:rPr>
          <w:rFonts w:ascii="Times New Roman" w:hAnsi="Times New Roman" w:cs="Times New Roman"/>
          <w:sz w:val="28"/>
          <w:szCs w:val="28"/>
        </w:rPr>
        <w:t>тыс. руб.;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- с экономией средств на общегосуд</w:t>
      </w:r>
      <w:r w:rsidR="00837133">
        <w:rPr>
          <w:rFonts w:ascii="Times New Roman" w:hAnsi="Times New Roman" w:cs="Times New Roman"/>
          <w:sz w:val="28"/>
          <w:szCs w:val="28"/>
        </w:rPr>
        <w:t>арственные вопросы в сумме 201,3</w:t>
      </w:r>
      <w:r w:rsidR="003B0246">
        <w:rPr>
          <w:rFonts w:ascii="Times New Roman" w:hAnsi="Times New Roman" w:cs="Times New Roman"/>
          <w:sz w:val="28"/>
          <w:szCs w:val="28"/>
        </w:rPr>
        <w:t xml:space="preserve"> тыс. руб., на вопросы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3B0246">
        <w:rPr>
          <w:rFonts w:ascii="Times New Roman" w:hAnsi="Times New Roman" w:cs="Times New Roman"/>
          <w:sz w:val="28"/>
          <w:szCs w:val="28"/>
        </w:rPr>
        <w:t xml:space="preserve">национальной обороны в сумме 1,2 </w:t>
      </w:r>
      <w:r w:rsidRPr="006F32FA">
        <w:rPr>
          <w:rFonts w:ascii="Times New Roman" w:hAnsi="Times New Roman" w:cs="Times New Roman"/>
          <w:sz w:val="28"/>
          <w:szCs w:val="28"/>
        </w:rPr>
        <w:t>тыс. руб.;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-  уменьшением  расходов на финансирование  вопросов в</w:t>
      </w:r>
      <w:r w:rsidR="00E74E1E">
        <w:rPr>
          <w:rFonts w:ascii="Times New Roman" w:hAnsi="Times New Roman" w:cs="Times New Roman"/>
          <w:sz w:val="28"/>
          <w:szCs w:val="28"/>
        </w:rPr>
        <w:t xml:space="preserve"> области национальной экономики в сумме 611,1</w:t>
      </w:r>
      <w:r w:rsidR="00837133">
        <w:rPr>
          <w:rFonts w:ascii="Times New Roman" w:hAnsi="Times New Roman" w:cs="Times New Roman"/>
          <w:sz w:val="28"/>
          <w:szCs w:val="28"/>
        </w:rPr>
        <w:t xml:space="preserve"> </w:t>
      </w:r>
      <w:r w:rsidR="00E74E1E">
        <w:rPr>
          <w:rFonts w:ascii="Times New Roman" w:hAnsi="Times New Roman" w:cs="Times New Roman"/>
          <w:sz w:val="28"/>
          <w:szCs w:val="28"/>
        </w:rPr>
        <w:t>тыс. руб., культуры в сумме 79,0</w:t>
      </w:r>
      <w:r w:rsidR="003B024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E74E1E">
        <w:rPr>
          <w:rFonts w:ascii="Times New Roman" w:hAnsi="Times New Roman" w:cs="Times New Roman"/>
          <w:sz w:val="28"/>
          <w:szCs w:val="28"/>
        </w:rPr>
        <w:t xml:space="preserve">., окружающей среды, средств массовой информации и обслуживание муниципального долга на сумму 3,5 тыс. руб. </w:t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F32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>Табл.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8"/>
        <w:gridCol w:w="1275"/>
        <w:gridCol w:w="1134"/>
        <w:gridCol w:w="851"/>
        <w:gridCol w:w="1275"/>
      </w:tblGrid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Наименование  целевых программ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 статей расходов</w:t>
            </w:r>
          </w:p>
        </w:tc>
        <w:tc>
          <w:tcPr>
            <w:tcW w:w="127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27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proofErr w:type="gramStart"/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F32FA" w:rsidRPr="006F32FA" w:rsidRDefault="009759C5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целевая программа «Развитие, ремонт и реконструкция системы водоснабжения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</w:t>
            </w: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F32FA" w:rsidRPr="006F32FA" w:rsidRDefault="009759C5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1134" w:type="dxa"/>
          </w:tcPr>
          <w:p w:rsidR="006F32FA" w:rsidRPr="006F32FA" w:rsidRDefault="009759C5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F32FA" w:rsidRPr="006F32FA" w:rsidRDefault="009759C5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:rsidR="006F32FA" w:rsidRPr="006F32FA" w:rsidRDefault="009759C5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-500,0</w:t>
            </w:r>
          </w:p>
        </w:tc>
      </w:tr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6F32FA" w:rsidRPr="006F32FA" w:rsidRDefault="009759C5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домственная целевая программа « Развитие культуры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</w:t>
            </w:r>
            <w:r w:rsidRPr="006F32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F32FA" w:rsidRPr="006F32FA" w:rsidRDefault="009759C5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1128,4</w:t>
            </w:r>
          </w:p>
        </w:tc>
        <w:tc>
          <w:tcPr>
            <w:tcW w:w="1134" w:type="dxa"/>
          </w:tcPr>
          <w:p w:rsidR="006F32FA" w:rsidRPr="006F32FA" w:rsidRDefault="009759C5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696,7</w:t>
            </w:r>
          </w:p>
        </w:tc>
        <w:tc>
          <w:tcPr>
            <w:tcW w:w="851" w:type="dxa"/>
          </w:tcPr>
          <w:p w:rsidR="006F32FA" w:rsidRPr="006F32FA" w:rsidRDefault="003F4728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61,7</w:t>
            </w:r>
          </w:p>
        </w:tc>
        <w:tc>
          <w:tcPr>
            <w:tcW w:w="1275" w:type="dxa"/>
          </w:tcPr>
          <w:p w:rsidR="006F32FA" w:rsidRPr="006F32FA" w:rsidRDefault="003F4728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-431,7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F32FA" w:rsidRPr="006F32FA" w:rsidRDefault="009759C5" w:rsidP="006F32FA">
            <w:pPr>
              <w:spacing w:before="100" w:beforeAutospacing="1" w:after="0" w:line="240" w:lineRule="auto"/>
              <w:outlineLvl w:val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6F32FA" w:rsidRPr="00440534" w:rsidRDefault="003F4728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</w:rPr>
              <w:t>1628,4</w:t>
            </w:r>
          </w:p>
        </w:tc>
        <w:tc>
          <w:tcPr>
            <w:tcW w:w="1134" w:type="dxa"/>
          </w:tcPr>
          <w:p w:rsidR="006F32FA" w:rsidRPr="00440534" w:rsidRDefault="003F4728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</w:rPr>
              <w:t>696,7</w:t>
            </w:r>
          </w:p>
        </w:tc>
        <w:tc>
          <w:tcPr>
            <w:tcW w:w="851" w:type="dxa"/>
          </w:tcPr>
          <w:p w:rsidR="006F32FA" w:rsidRPr="00440534" w:rsidRDefault="003F4728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42,8</w:t>
            </w:r>
          </w:p>
        </w:tc>
        <w:tc>
          <w:tcPr>
            <w:tcW w:w="1275" w:type="dxa"/>
          </w:tcPr>
          <w:p w:rsidR="006F32FA" w:rsidRPr="006F32FA" w:rsidRDefault="003F4728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-931,7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6F32FA" w:rsidRPr="003B49EE" w:rsidRDefault="004E7CC0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"Территориальное общественное самоуправление в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Геймановском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Тбилисского района" на 2014 год</w:t>
            </w:r>
          </w:p>
        </w:tc>
        <w:tc>
          <w:tcPr>
            <w:tcW w:w="1275" w:type="dxa"/>
          </w:tcPr>
          <w:p w:rsidR="006F32FA" w:rsidRPr="00312857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75,4</w:t>
            </w:r>
          </w:p>
        </w:tc>
        <w:tc>
          <w:tcPr>
            <w:tcW w:w="1134" w:type="dxa"/>
          </w:tcPr>
          <w:p w:rsidR="006F32FA" w:rsidRPr="00312857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75,4</w:t>
            </w:r>
          </w:p>
        </w:tc>
        <w:tc>
          <w:tcPr>
            <w:tcW w:w="851" w:type="dxa"/>
          </w:tcPr>
          <w:p w:rsidR="006F32FA" w:rsidRPr="00440534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"Развитие и реконструкция системы водоснабжения на территории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году"</w:t>
            </w:r>
          </w:p>
        </w:tc>
        <w:tc>
          <w:tcPr>
            <w:tcW w:w="1275" w:type="dxa"/>
          </w:tcPr>
          <w:p w:rsidR="006F32FA" w:rsidRPr="00440534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156,4</w:t>
            </w:r>
          </w:p>
        </w:tc>
        <w:tc>
          <w:tcPr>
            <w:tcW w:w="1134" w:type="dxa"/>
          </w:tcPr>
          <w:p w:rsidR="006F32FA" w:rsidRPr="00440534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71,4</w:t>
            </w:r>
          </w:p>
        </w:tc>
        <w:tc>
          <w:tcPr>
            <w:tcW w:w="851" w:type="dxa"/>
          </w:tcPr>
          <w:p w:rsidR="006F32FA" w:rsidRPr="00440534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45,7</w:t>
            </w:r>
          </w:p>
        </w:tc>
        <w:tc>
          <w:tcPr>
            <w:tcW w:w="1275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-85,</w:t>
            </w:r>
            <w:r w:rsidR="003B49EE"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"Развитие системы газоснабжения в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Геймановском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Тбилисского района в 2014 году"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259,0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259,0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CE51EC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"Развитие систем наружного освещения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711,6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692,1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97,3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-19,5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"По обеспечению противопожарной пропаганды и обучение мерам пожарной безопасности на территории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7,3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7,3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"По противодействию угрозам терроризма и проявлению экстремизма на территории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5,8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5,8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"О развитии субъектов малого и среднего предпринимательства в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Геймановском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Тбилисского района на 2014 год"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0,8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-1,2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"Охрана и сохранение объектов культурного наследия, расположенных на территории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6F32FA" w:rsidRPr="003B49EE" w:rsidRDefault="00791D5C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"Развитие культуры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году"</w:t>
            </w:r>
          </w:p>
        </w:tc>
        <w:tc>
          <w:tcPr>
            <w:tcW w:w="1275" w:type="dxa"/>
          </w:tcPr>
          <w:p w:rsidR="006F32FA" w:rsidRPr="006D13F1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59,5</w:t>
            </w:r>
          </w:p>
        </w:tc>
        <w:tc>
          <w:tcPr>
            <w:tcW w:w="1134" w:type="dxa"/>
          </w:tcPr>
          <w:p w:rsidR="006F32FA" w:rsidRPr="006D13F1" w:rsidRDefault="003B49EE" w:rsidP="00440534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13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36,9</w:t>
            </w:r>
          </w:p>
        </w:tc>
        <w:tc>
          <w:tcPr>
            <w:tcW w:w="851" w:type="dxa"/>
          </w:tcPr>
          <w:p w:rsidR="006F32FA" w:rsidRPr="006D13F1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13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1275" w:type="dxa"/>
          </w:tcPr>
          <w:p w:rsidR="006F32FA" w:rsidRPr="006D13F1" w:rsidRDefault="003B49EE" w:rsidP="00440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13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-22,6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CE51EC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1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6F32FA" w:rsidRPr="003B49EE" w:rsidRDefault="003B49EE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"Развитие культуры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в 2014 году" бюджет МО Тбилисский район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60,7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60,7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6F32FA" w:rsidRPr="003B49EE" w:rsidRDefault="003B49EE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"Комплексные меры по </w:t>
            </w:r>
            <w:r w:rsidRPr="003B4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профилактике наркомании, алкоголизма и связанных с ними правонарушений на территории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Геймановского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5,8</w:t>
            </w:r>
          </w:p>
        </w:tc>
        <w:tc>
          <w:tcPr>
            <w:tcW w:w="1134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5,1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87,9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-0,7</w:t>
            </w:r>
          </w:p>
        </w:tc>
      </w:tr>
      <w:tr w:rsidR="003B49EE" w:rsidRPr="00440534" w:rsidTr="006F32FA">
        <w:tc>
          <w:tcPr>
            <w:tcW w:w="534" w:type="dxa"/>
          </w:tcPr>
          <w:p w:rsidR="003B49EE" w:rsidRPr="006F32FA" w:rsidRDefault="003B49EE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8" w:type="dxa"/>
          </w:tcPr>
          <w:p w:rsidR="003B49EE" w:rsidRPr="003B49EE" w:rsidRDefault="003B49EE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«Использование и охрана земель В </w:t>
            </w:r>
            <w:proofErr w:type="spellStart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>Геймановском</w:t>
            </w:r>
            <w:proofErr w:type="spellEnd"/>
            <w:r w:rsidRPr="003B49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Тбилисского района на 2014 год»</w:t>
            </w:r>
          </w:p>
        </w:tc>
        <w:tc>
          <w:tcPr>
            <w:tcW w:w="1275" w:type="dxa"/>
          </w:tcPr>
          <w:p w:rsidR="003B49EE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134" w:type="dxa"/>
          </w:tcPr>
          <w:p w:rsidR="003B49EE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49,6</w:t>
            </w:r>
          </w:p>
        </w:tc>
        <w:tc>
          <w:tcPr>
            <w:tcW w:w="851" w:type="dxa"/>
          </w:tcPr>
          <w:p w:rsidR="003B49EE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99,2</w:t>
            </w:r>
          </w:p>
        </w:tc>
        <w:tc>
          <w:tcPr>
            <w:tcW w:w="1275" w:type="dxa"/>
          </w:tcPr>
          <w:p w:rsidR="003B49EE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-0,4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F32FA" w:rsidRPr="006F32FA" w:rsidRDefault="006F32FA" w:rsidP="006F3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1413,5</w:t>
            </w:r>
          </w:p>
        </w:tc>
        <w:tc>
          <w:tcPr>
            <w:tcW w:w="1134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1284,1</w:t>
            </w:r>
          </w:p>
        </w:tc>
        <w:tc>
          <w:tcPr>
            <w:tcW w:w="851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90,8</w:t>
            </w:r>
          </w:p>
        </w:tc>
        <w:tc>
          <w:tcPr>
            <w:tcW w:w="1275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-129,4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F32FA" w:rsidRPr="006F32FA" w:rsidRDefault="006F32FA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F32F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по целевым программам</w:t>
            </w:r>
          </w:p>
        </w:tc>
        <w:tc>
          <w:tcPr>
            <w:tcW w:w="1275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3041,9</w:t>
            </w:r>
          </w:p>
        </w:tc>
        <w:tc>
          <w:tcPr>
            <w:tcW w:w="1134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1980,80</w:t>
            </w:r>
          </w:p>
        </w:tc>
        <w:tc>
          <w:tcPr>
            <w:tcW w:w="851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65,1</w:t>
            </w:r>
          </w:p>
        </w:tc>
        <w:tc>
          <w:tcPr>
            <w:tcW w:w="1275" w:type="dxa"/>
          </w:tcPr>
          <w:p w:rsidR="006F32FA" w:rsidRPr="00440534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-1061,1</w:t>
            </w:r>
          </w:p>
        </w:tc>
      </w:tr>
      <w:tr w:rsidR="006F32FA" w:rsidRPr="00440534" w:rsidTr="006F32FA">
        <w:tc>
          <w:tcPr>
            <w:tcW w:w="534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D77D21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6419,0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2FA" w:rsidRPr="006F32FA" w:rsidRDefault="00D77D21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6217,7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32FA" w:rsidRPr="006F32FA" w:rsidRDefault="00D77D21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96,7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-201,3</w:t>
            </w:r>
          </w:p>
        </w:tc>
      </w:tr>
      <w:tr w:rsidR="006F32FA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F32FA" w:rsidRPr="006F32FA" w:rsidRDefault="00440534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национальной обороны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2FA" w:rsidRPr="006F32FA" w:rsidRDefault="0044053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194,1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-1,2</w:t>
            </w:r>
          </w:p>
        </w:tc>
      </w:tr>
      <w:tr w:rsidR="00533B1E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533B1E" w:rsidRPr="006F32FA" w:rsidRDefault="00533B1E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33B1E" w:rsidRPr="006F32FA" w:rsidRDefault="00533B1E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национальной экономики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3B1E" w:rsidRPr="006F32FA" w:rsidRDefault="009615A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0939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08,3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33B1E" w:rsidRPr="006F32FA" w:rsidRDefault="009615A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1597,2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33B1E" w:rsidRPr="006F32FA" w:rsidRDefault="009615A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72,3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3B1E" w:rsidRPr="006F32FA" w:rsidRDefault="009615A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-61</w:t>
            </w:r>
            <w:r w:rsidR="000939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1,1</w:t>
            </w:r>
          </w:p>
        </w:tc>
      </w:tr>
      <w:tr w:rsidR="00533B1E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533B1E" w:rsidRPr="006F32FA" w:rsidRDefault="00533B1E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33B1E" w:rsidRPr="006F32FA" w:rsidRDefault="00533B1E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окружающей среды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-1,0</w:t>
            </w:r>
          </w:p>
        </w:tc>
      </w:tr>
      <w:tr w:rsidR="006F32FA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Вопросы культуры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9615A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2097,1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2FA" w:rsidRPr="006F32FA" w:rsidRDefault="009F51ED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9615A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018,1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32FA" w:rsidRPr="006F32FA" w:rsidRDefault="009615A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96,2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9615A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79,0</w:t>
            </w:r>
          </w:p>
        </w:tc>
      </w:tr>
      <w:tr w:rsidR="00533B1E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533B1E" w:rsidRPr="006F32FA" w:rsidRDefault="00533B1E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33B1E" w:rsidRPr="006F32FA" w:rsidRDefault="00533B1E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68,5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97,9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3B1E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-1,5</w:t>
            </w:r>
          </w:p>
        </w:tc>
      </w:tr>
      <w:tr w:rsidR="006F32FA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F32FA" w:rsidRPr="006F32FA" w:rsidRDefault="00533B1E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98,3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6F32FA" w:rsidRDefault="00533B1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-1,0</w:t>
            </w:r>
          </w:p>
        </w:tc>
      </w:tr>
      <w:tr w:rsidR="006F32FA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F32FA" w:rsidRPr="006F32FA" w:rsidRDefault="006F32FA" w:rsidP="006F3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440534" w:rsidRDefault="006F32F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2FA" w:rsidRPr="00440534" w:rsidRDefault="006F32F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32FA" w:rsidRPr="00440534" w:rsidRDefault="006F32F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32FA" w:rsidRPr="00440534" w:rsidRDefault="00312857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1957,2</w:t>
            </w:r>
          </w:p>
        </w:tc>
      </w:tr>
    </w:tbl>
    <w:p w:rsidR="00754E24" w:rsidRPr="006F32FA" w:rsidRDefault="00754E24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Субсидии на </w:t>
      </w:r>
      <w:r>
        <w:rPr>
          <w:rFonts w:ascii="Times New Roman" w:hAnsi="Times New Roman" w:cs="Times New Roman"/>
          <w:sz w:val="28"/>
          <w:szCs w:val="28"/>
        </w:rPr>
        <w:t xml:space="preserve">исполнение краевых </w:t>
      </w:r>
      <w:r w:rsidRPr="006F32FA">
        <w:rPr>
          <w:rFonts w:ascii="Times New Roman" w:hAnsi="Times New Roman" w:cs="Times New Roman"/>
          <w:sz w:val="28"/>
          <w:szCs w:val="28"/>
        </w:rPr>
        <w:t xml:space="preserve"> целевых пр</w:t>
      </w:r>
      <w:r>
        <w:rPr>
          <w:rFonts w:ascii="Times New Roman" w:hAnsi="Times New Roman" w:cs="Times New Roman"/>
          <w:sz w:val="28"/>
          <w:szCs w:val="28"/>
        </w:rPr>
        <w:t>ограмм поступили в сумме 696,7 тыс. руб. при плане 1628,4 тыс. рублей, что составляет 42,8</w:t>
      </w:r>
      <w:r w:rsidRPr="006F32FA">
        <w:rPr>
          <w:rFonts w:ascii="Times New Roman" w:hAnsi="Times New Roman" w:cs="Times New Roman"/>
          <w:sz w:val="28"/>
          <w:szCs w:val="28"/>
        </w:rPr>
        <w:t xml:space="preserve"> % от годового бюджетного назначения. </w:t>
      </w:r>
    </w:p>
    <w:p w:rsidR="00754E24" w:rsidRPr="006F32FA" w:rsidRDefault="00754E24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857">
        <w:rPr>
          <w:rFonts w:ascii="Times New Roman" w:hAnsi="Times New Roman" w:cs="Times New Roman"/>
          <w:sz w:val="28"/>
          <w:szCs w:val="28"/>
        </w:rPr>
        <w:t>По заключенным соглашениям из краевого бюджета не в полном объеме по</w:t>
      </w:r>
      <w:r w:rsidR="00E74E1E" w:rsidRPr="00312857">
        <w:rPr>
          <w:rFonts w:ascii="Times New Roman" w:hAnsi="Times New Roman" w:cs="Times New Roman"/>
          <w:sz w:val="28"/>
          <w:szCs w:val="28"/>
        </w:rPr>
        <w:t>ступили  субсидии по программе «</w:t>
      </w:r>
      <w:r w:rsidRPr="00312857">
        <w:rPr>
          <w:rFonts w:ascii="Times New Roman" w:hAnsi="Times New Roman" w:cs="Times New Roman"/>
          <w:sz w:val="28"/>
          <w:szCs w:val="28"/>
        </w:rPr>
        <w:t xml:space="preserve">Развитие и реконструкция системы водоснабжения на территории </w:t>
      </w:r>
      <w:proofErr w:type="spellStart"/>
      <w:r w:rsidRPr="00312857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Pr="0031285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в 2014 году»</w:t>
      </w:r>
      <w:r w:rsidR="00E74E1E" w:rsidRPr="00312857">
        <w:rPr>
          <w:rFonts w:ascii="Times New Roman" w:hAnsi="Times New Roman" w:cs="Times New Roman"/>
          <w:sz w:val="28"/>
          <w:szCs w:val="28"/>
        </w:rPr>
        <w:t xml:space="preserve"> и «Развитие культуры </w:t>
      </w:r>
      <w:proofErr w:type="spellStart"/>
      <w:r w:rsidR="00E74E1E" w:rsidRPr="00312857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E74E1E" w:rsidRPr="0031285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в 2014 году».</w:t>
      </w:r>
    </w:p>
    <w:p w:rsidR="00754E24" w:rsidRDefault="00754E24" w:rsidP="00BA67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32FA" w:rsidRPr="006F32FA" w:rsidRDefault="00754E24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="006F32FA" w:rsidRPr="006F32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поселения за 2014 год в сравнении с 2013 годом по основным показателям   приведен в табл. 4, 5: </w:t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  <w:t>Табл.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58"/>
        <w:gridCol w:w="1707"/>
        <w:gridCol w:w="1415"/>
        <w:gridCol w:w="1559"/>
        <w:gridCol w:w="1134"/>
      </w:tblGrid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2013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2014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5162,8</w:t>
            </w:r>
          </w:p>
        </w:tc>
        <w:tc>
          <w:tcPr>
            <w:tcW w:w="1415" w:type="dxa"/>
          </w:tcPr>
          <w:p w:rsidR="006F32FA" w:rsidRPr="006F32FA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6626,4</w:t>
            </w:r>
          </w:p>
        </w:tc>
        <w:tc>
          <w:tcPr>
            <w:tcW w:w="1134" w:type="dxa"/>
          </w:tcPr>
          <w:p w:rsidR="006F32FA" w:rsidRPr="006F32FA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D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3086,4</w:t>
            </w:r>
          </w:p>
        </w:tc>
        <w:tc>
          <w:tcPr>
            <w:tcW w:w="1415" w:type="dxa"/>
          </w:tcPr>
          <w:p w:rsidR="006F32FA" w:rsidRPr="006F32FA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3430,9</w:t>
            </w:r>
          </w:p>
        </w:tc>
        <w:tc>
          <w:tcPr>
            <w:tcW w:w="1134" w:type="dxa"/>
          </w:tcPr>
          <w:p w:rsidR="006F32FA" w:rsidRPr="006F32FA" w:rsidRDefault="006D13F1" w:rsidP="006D13F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24,0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8249,2</w:t>
            </w:r>
          </w:p>
        </w:tc>
        <w:tc>
          <w:tcPr>
            <w:tcW w:w="1415" w:type="dxa"/>
          </w:tcPr>
          <w:p w:rsidR="006F32FA" w:rsidRPr="000C4A6D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6D">
              <w:rPr>
                <w:rFonts w:ascii="Times New Roman" w:hAnsi="Times New Roman" w:cs="Times New Roman"/>
                <w:b/>
                <w:sz w:val="24"/>
                <w:szCs w:val="24"/>
              </w:rPr>
              <w:t>44,1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10057,3</w:t>
            </w:r>
          </w:p>
        </w:tc>
        <w:tc>
          <w:tcPr>
            <w:tcW w:w="1134" w:type="dxa"/>
          </w:tcPr>
          <w:p w:rsidR="006F32FA" w:rsidRPr="000C4A6D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6D">
              <w:rPr>
                <w:rFonts w:ascii="Times New Roman" w:hAnsi="Times New Roman" w:cs="Times New Roman"/>
                <w:b/>
                <w:sz w:val="24"/>
                <w:szCs w:val="24"/>
              </w:rPr>
              <w:t>70,4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10477,4</w:t>
            </w:r>
          </w:p>
        </w:tc>
        <w:tc>
          <w:tcPr>
            <w:tcW w:w="1415" w:type="dxa"/>
          </w:tcPr>
          <w:p w:rsidR="006F32FA" w:rsidRPr="006F32FA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4219,5</w:t>
            </w:r>
          </w:p>
        </w:tc>
        <w:tc>
          <w:tcPr>
            <w:tcW w:w="1134" w:type="dxa"/>
          </w:tcPr>
          <w:p w:rsidR="006F32FA" w:rsidRPr="006F32FA" w:rsidRDefault="006D13F1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18726,6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14276,8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19581,0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13996,4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Дефицит (профицит) </w:t>
            </w: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-854,4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D13F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+280,4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</w:tbl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Табл. 5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3268"/>
        <w:gridCol w:w="1701"/>
        <w:gridCol w:w="1701"/>
        <w:gridCol w:w="1417"/>
        <w:gridCol w:w="992"/>
      </w:tblGrid>
      <w:tr w:rsidR="006F32FA" w:rsidRPr="006F32FA" w:rsidTr="000F1ABF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Структура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2013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2014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Рост +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C4A6D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1463,6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E74E1E" w:rsidRPr="003F694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C4A6D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E74E1E" w:rsidRPr="003F694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8249,2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10057,3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C4A6D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1808,1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E74E1E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-6257,9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74E1E" w:rsidRPr="003F694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-4449,8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3F6942" w:rsidRPr="003F694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-5584,6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F1ABF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3F6942" w:rsidRPr="003F694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C4A6D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-574,0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E74E1E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-32,8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32FA">
        <w:rPr>
          <w:rFonts w:ascii="Times New Roman" w:hAnsi="Times New Roman" w:cs="Times New Roman"/>
          <w:sz w:val="28"/>
          <w:szCs w:val="28"/>
        </w:rPr>
        <w:t>Из приведенных в табл. 4,5  данных видно, что основную долю в бюджете поселения занимают собственные</w:t>
      </w:r>
      <w:r w:rsidR="000C4A6D">
        <w:rPr>
          <w:rFonts w:ascii="Times New Roman" w:hAnsi="Times New Roman" w:cs="Times New Roman"/>
          <w:sz w:val="28"/>
          <w:szCs w:val="28"/>
        </w:rPr>
        <w:t xml:space="preserve"> доходы, доля которых  выше  уровня 2013 года и составляет 70,4</w:t>
      </w:r>
      <w:r w:rsidRPr="006F32FA">
        <w:rPr>
          <w:rFonts w:ascii="Times New Roman" w:hAnsi="Times New Roman" w:cs="Times New Roman"/>
          <w:sz w:val="28"/>
          <w:szCs w:val="28"/>
        </w:rPr>
        <w:t xml:space="preserve">% в общем объеме доходов поселения.  </w:t>
      </w:r>
      <w:r w:rsidRPr="006F32F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F32FA">
        <w:rPr>
          <w:rFonts w:ascii="Times New Roman" w:hAnsi="Times New Roman" w:cs="Times New Roman"/>
          <w:sz w:val="28"/>
          <w:szCs w:val="28"/>
        </w:rPr>
        <w:t xml:space="preserve">К уровню 2013 года поступления по собственным доходам </w:t>
      </w:r>
      <w:r w:rsidR="000C4A6D">
        <w:rPr>
          <w:rFonts w:ascii="Times New Roman" w:hAnsi="Times New Roman" w:cs="Times New Roman"/>
          <w:sz w:val="28"/>
          <w:szCs w:val="28"/>
        </w:rPr>
        <w:t>увеличились на 1808,1 тыс. руб.,</w:t>
      </w:r>
      <w:r w:rsidRPr="006F32FA">
        <w:rPr>
          <w:rFonts w:ascii="Times New Roman" w:hAnsi="Times New Roman" w:cs="Times New Roman"/>
          <w:sz w:val="28"/>
          <w:szCs w:val="28"/>
        </w:rPr>
        <w:t xml:space="preserve"> безв</w:t>
      </w:r>
      <w:r w:rsidR="000C4A6D">
        <w:rPr>
          <w:rFonts w:ascii="Times New Roman" w:hAnsi="Times New Roman" w:cs="Times New Roman"/>
          <w:sz w:val="28"/>
          <w:szCs w:val="28"/>
        </w:rPr>
        <w:t>озмездные поступления снизились на 6257,9</w:t>
      </w:r>
      <w:r w:rsidR="00BC004A">
        <w:rPr>
          <w:rFonts w:ascii="Times New Roman" w:hAnsi="Times New Roman" w:cs="Times New Roman"/>
          <w:sz w:val="28"/>
          <w:szCs w:val="28"/>
        </w:rPr>
        <w:t xml:space="preserve"> </w:t>
      </w:r>
      <w:r w:rsidR="000C4A6D">
        <w:rPr>
          <w:rFonts w:ascii="Times New Roman" w:hAnsi="Times New Roman" w:cs="Times New Roman"/>
          <w:sz w:val="28"/>
          <w:szCs w:val="28"/>
        </w:rPr>
        <w:t xml:space="preserve"> тыс. руб. или на 60</w:t>
      </w:r>
      <w:r w:rsidRPr="006F32FA">
        <w:rPr>
          <w:rFonts w:ascii="Times New Roman" w:hAnsi="Times New Roman" w:cs="Times New Roman"/>
          <w:sz w:val="28"/>
          <w:szCs w:val="28"/>
        </w:rPr>
        <w:t xml:space="preserve"> %. Рост </w:t>
      </w:r>
      <w:r w:rsidR="000C4A6D">
        <w:rPr>
          <w:rFonts w:ascii="Times New Roman" w:hAnsi="Times New Roman" w:cs="Times New Roman"/>
          <w:sz w:val="28"/>
          <w:szCs w:val="28"/>
        </w:rPr>
        <w:t>налоговых доходов составил 128</w:t>
      </w:r>
      <w:r w:rsidR="009E4D20">
        <w:rPr>
          <w:rFonts w:ascii="Times New Roman" w:hAnsi="Times New Roman" w:cs="Times New Roman"/>
          <w:sz w:val="28"/>
          <w:szCs w:val="28"/>
        </w:rPr>
        <w:t>,3</w:t>
      </w:r>
      <w:r w:rsidR="000C4A6D">
        <w:rPr>
          <w:rFonts w:ascii="Times New Roman" w:hAnsi="Times New Roman" w:cs="Times New Roman"/>
          <w:sz w:val="28"/>
          <w:szCs w:val="28"/>
        </w:rPr>
        <w:t>%, или 1463,6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обеспечен за счет </w:t>
      </w:r>
      <w:r w:rsidR="000C4A6D"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>роста поступлений НДФЛ на 17,8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за счет поступлений от продажи </w:t>
      </w:r>
      <w:r w:rsidR="000C4A6D"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участков  на 311,2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Неналоговые доходы увеличились на сумму</w:t>
      </w:r>
      <w:proofErr w:type="gramEnd"/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>344,5</w:t>
      </w:r>
      <w:r w:rsidR="00BC0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ли на 111,2 %. Увеличение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произошло </w:t>
      </w:r>
      <w:r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 </w:t>
      </w:r>
      <w:r w:rsidR="009E4D20"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поступления доходов от сдачи в аренду имущества на сумму 33,3 тыс. руб. и поступлений от </w:t>
      </w:r>
      <w:r w:rsidR="000070F6"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>продажи земельных участков на сумму 311,2</w:t>
      </w:r>
      <w:r w:rsidR="00BC0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70F6"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Pr="006F32FA">
        <w:rPr>
          <w:rFonts w:ascii="Times New Roman" w:hAnsi="Times New Roman" w:cs="Times New Roman"/>
          <w:sz w:val="28"/>
          <w:szCs w:val="28"/>
        </w:rPr>
        <w:t>езвозмездные поступления из други</w:t>
      </w:r>
      <w:r w:rsidR="009E4D20">
        <w:rPr>
          <w:rFonts w:ascii="Times New Roman" w:hAnsi="Times New Roman" w:cs="Times New Roman"/>
          <w:sz w:val="28"/>
          <w:szCs w:val="28"/>
        </w:rPr>
        <w:t>х  бюджетов снизились на 6257,9 тыс. руб. или  на 59,7</w:t>
      </w:r>
      <w:r w:rsidRPr="006F32FA">
        <w:rPr>
          <w:rFonts w:ascii="Times New Roman" w:hAnsi="Times New Roman" w:cs="Times New Roman"/>
          <w:sz w:val="28"/>
          <w:szCs w:val="28"/>
        </w:rPr>
        <w:t xml:space="preserve"> %.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>В основном это связано с не до поступлением средств из кра</w:t>
      </w:r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>евого бюджета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>краевым</w:t>
      </w:r>
      <w:proofErr w:type="gramEnd"/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</w:t>
      </w:r>
      <w:r w:rsidRPr="006F32FA">
        <w:rPr>
          <w:rFonts w:ascii="Times New Roman" w:hAnsi="Times New Roman" w:cs="Times New Roman"/>
          <w:sz w:val="28"/>
          <w:szCs w:val="28"/>
        </w:rPr>
        <w:t>.</w:t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6F32FA" w:rsidRDefault="00A00C50" w:rsidP="001140A1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140A1" w:rsidRPr="0002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1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F74C7" w:rsidRDefault="00AE735D" w:rsidP="007674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279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74C7">
        <w:rPr>
          <w:rFonts w:ascii="Times New Roman" w:hAnsi="Times New Roman" w:cs="Times New Roman"/>
          <w:b/>
          <w:sz w:val="28"/>
          <w:szCs w:val="28"/>
        </w:rPr>
        <w:t>Доходы м</w:t>
      </w:r>
      <w:r w:rsidR="000070F6">
        <w:rPr>
          <w:rFonts w:ascii="Times New Roman" w:hAnsi="Times New Roman" w:cs="Times New Roman"/>
          <w:b/>
          <w:sz w:val="28"/>
          <w:szCs w:val="28"/>
        </w:rPr>
        <w:t>естного бюджета за отчетный 2014</w:t>
      </w:r>
      <w:r w:rsidR="004F74C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E735D" w:rsidRPr="0002799F" w:rsidRDefault="004F74C7" w:rsidP="00767438">
      <w:pPr>
        <w:pStyle w:val="ad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Геймановского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Тбилисского района</w:t>
      </w:r>
    </w:p>
    <w:p w:rsidR="00104E03" w:rsidRDefault="006165DA" w:rsidP="00BA67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proofErr w:type="spellStart"/>
      <w:r w:rsidRPr="00B716D8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Pr="00B716D8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0070F6">
        <w:rPr>
          <w:rFonts w:ascii="Times New Roman" w:hAnsi="Times New Roman" w:cs="Times New Roman"/>
          <w:sz w:val="28"/>
          <w:szCs w:val="28"/>
        </w:rPr>
        <w:t>ления Тбилисского района на 2014</w:t>
      </w:r>
      <w:r w:rsidRPr="00B716D8">
        <w:rPr>
          <w:rFonts w:ascii="Times New Roman" w:hAnsi="Times New Roman" w:cs="Times New Roman"/>
          <w:sz w:val="28"/>
          <w:szCs w:val="28"/>
        </w:rPr>
        <w:t xml:space="preserve"> год сформирована с учетом основных показателей социально-экономического развития поселения и мер по повышению собираемости налогов и сборов. В основу рас</w:t>
      </w:r>
      <w:r w:rsidR="000070F6">
        <w:rPr>
          <w:rFonts w:ascii="Times New Roman" w:hAnsi="Times New Roman" w:cs="Times New Roman"/>
          <w:sz w:val="28"/>
          <w:szCs w:val="28"/>
        </w:rPr>
        <w:t>четов поступлений доходов в 2014</w:t>
      </w:r>
      <w:r w:rsidRPr="00B716D8">
        <w:rPr>
          <w:rFonts w:ascii="Times New Roman" w:hAnsi="Times New Roman" w:cs="Times New Roman"/>
          <w:sz w:val="28"/>
          <w:szCs w:val="28"/>
        </w:rPr>
        <w:t xml:space="preserve"> году также заложены фактически сложившиеся тенденции по </w:t>
      </w:r>
      <w:r w:rsidRPr="00B716D8">
        <w:rPr>
          <w:rFonts w:ascii="Times New Roman" w:hAnsi="Times New Roman" w:cs="Times New Roman"/>
          <w:sz w:val="28"/>
          <w:szCs w:val="28"/>
        </w:rPr>
        <w:lastRenderedPageBreak/>
        <w:t xml:space="preserve">собираемости налогов и платежей за ряд предшествующих лет, индексы роста цен и заработной платы. </w:t>
      </w:r>
    </w:p>
    <w:p w:rsidR="00646EC0" w:rsidRDefault="006165DA" w:rsidP="00BA67A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6D8">
        <w:rPr>
          <w:rFonts w:ascii="Times New Roman" w:hAnsi="Times New Roman" w:cs="Times New Roman"/>
          <w:sz w:val="28"/>
          <w:szCs w:val="28"/>
        </w:rPr>
        <w:t xml:space="preserve">Учитывая необходимость обеспечения достаточной степени прочности бюджета </w:t>
      </w:r>
      <w:proofErr w:type="spellStart"/>
      <w:r w:rsidRPr="00B716D8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Pr="00B716D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070F6">
        <w:rPr>
          <w:rFonts w:ascii="Times New Roman" w:hAnsi="Times New Roman" w:cs="Times New Roman"/>
          <w:sz w:val="28"/>
          <w:szCs w:val="28"/>
        </w:rPr>
        <w:t>еления Тбилисского района в 2014</w:t>
      </w:r>
      <w:r w:rsidRPr="00B716D8">
        <w:rPr>
          <w:rFonts w:ascii="Times New Roman" w:hAnsi="Times New Roman" w:cs="Times New Roman"/>
          <w:sz w:val="28"/>
          <w:szCs w:val="28"/>
        </w:rPr>
        <w:t xml:space="preserve"> году были мобилизованы все возможные факторы развития экономики поселения. Было </w:t>
      </w:r>
      <w:r w:rsidR="00646EC0" w:rsidRPr="00646EC0">
        <w:rPr>
          <w:rFonts w:ascii="Times New Roman" w:hAnsi="Times New Roman" w:cs="Times New Roman"/>
          <w:sz w:val="28"/>
          <w:szCs w:val="28"/>
        </w:rPr>
        <w:t>проведено 39 заседаний</w:t>
      </w:r>
      <w:r w:rsidRPr="00646EC0">
        <w:rPr>
          <w:rFonts w:ascii="Times New Roman" w:hAnsi="Times New Roman" w:cs="Times New Roman"/>
          <w:sz w:val="28"/>
          <w:szCs w:val="28"/>
        </w:rPr>
        <w:t xml:space="preserve"> комиссии по укреплению налоговой и бюджетной дисциплины при администрации</w:t>
      </w:r>
      <w:r w:rsidRPr="00B71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6D8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Pr="00B716D8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</w:t>
      </w:r>
      <w:r w:rsidR="00646EC0">
        <w:rPr>
          <w:rFonts w:ascii="Times New Roman" w:hAnsi="Times New Roman" w:cs="Times New Roman"/>
          <w:sz w:val="28"/>
          <w:szCs w:val="28"/>
        </w:rPr>
        <w:t>она, на которые были вызваны 353</w:t>
      </w:r>
      <w:r w:rsidR="00646EC0"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хозяйствующих субъектов (граждане поселения, ИП, КФХ и юридические лица), имеющих суммарную задолженность по налогам в размере 398,8 тыс. рублей.   </w:t>
      </w:r>
    </w:p>
    <w:p w:rsidR="00646EC0" w:rsidRDefault="00646EC0" w:rsidP="00BA67A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ступление доходов в бюджет </w:t>
      </w:r>
      <w:proofErr w:type="spellStart"/>
      <w:r w:rsidR="006165DA" w:rsidRPr="00B716D8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070F6">
        <w:rPr>
          <w:rFonts w:ascii="Times New Roman" w:hAnsi="Times New Roman" w:cs="Times New Roman"/>
          <w:sz w:val="28"/>
          <w:szCs w:val="28"/>
        </w:rPr>
        <w:t>еления Тбилисского района в 2014 году составило 14276,8 тыс.</w:t>
      </w:r>
      <w:r w:rsidR="00444693">
        <w:rPr>
          <w:rFonts w:ascii="Times New Roman" w:hAnsi="Times New Roman" w:cs="Times New Roman"/>
          <w:sz w:val="28"/>
          <w:szCs w:val="28"/>
        </w:rPr>
        <w:t xml:space="preserve"> руб.</w:t>
      </w:r>
      <w:r w:rsidR="000070F6">
        <w:rPr>
          <w:rFonts w:ascii="Times New Roman" w:hAnsi="Times New Roman" w:cs="Times New Roman"/>
          <w:sz w:val="28"/>
          <w:szCs w:val="28"/>
        </w:rPr>
        <w:t>, что составляет 98,2</w:t>
      </w:r>
      <w:r>
        <w:rPr>
          <w:rFonts w:ascii="Times New Roman" w:hAnsi="Times New Roman" w:cs="Times New Roman"/>
          <w:sz w:val="28"/>
          <w:szCs w:val="28"/>
        </w:rPr>
        <w:t>%.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646EC0">
        <w:rPr>
          <w:rFonts w:ascii="Times New Roman" w:hAnsi="Times New Roman" w:cs="Times New Roman"/>
          <w:sz w:val="28"/>
          <w:szCs w:val="28"/>
        </w:rPr>
        <w:t>Процент исполнения по всем видам доходов, кроме субсидий от других бюджетов бюджетной системы Российский Федерации и иных межбюджетных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трансфертов</w:t>
      </w:r>
      <w:r w:rsidR="006165DA" w:rsidRPr="00B716D8">
        <w:rPr>
          <w:rFonts w:ascii="Times New Roman" w:hAnsi="Times New Roman" w:cs="Times New Roman"/>
          <w:vanish/>
          <w:sz w:val="28"/>
          <w:szCs w:val="28"/>
        </w:rPr>
        <w:t>638,62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превышает 100%. </w:t>
      </w:r>
    </w:p>
    <w:p w:rsidR="00646EC0" w:rsidRPr="00767438" w:rsidRDefault="00646EC0" w:rsidP="00767438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Неисполнение плана поступлений субсидий из краевого бюджета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500,0</w:t>
      </w:r>
      <w:r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вызвано решением перенести финансирование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</w:t>
      </w:r>
      <w:r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подготовке к осенне-зимнему периоду на 2015 год, так как по результатам проведения процедуры закупок был заключен контракт на поставку башни </w:t>
      </w:r>
      <w:proofErr w:type="spellStart"/>
      <w:r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Рожновского</w:t>
      </w:r>
      <w:proofErr w:type="spellEnd"/>
      <w:r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30.12.2014 года. </w:t>
      </w:r>
    </w:p>
    <w:p w:rsidR="00CB2488" w:rsidRPr="00B716D8" w:rsidRDefault="00CB2488" w:rsidP="00BA67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структуры по видам доходов имеем следующие показатели:</w:t>
      </w:r>
    </w:p>
    <w:p w:rsidR="006165DA" w:rsidRPr="00B716D8" w:rsidRDefault="006165DA" w:rsidP="00CB24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61D18DF" wp14:editId="154FE34E">
            <wp:extent cx="5276850" cy="3276600"/>
            <wp:effectExtent l="0" t="0" r="19050" b="1905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65DA" w:rsidRPr="00B716D8" w:rsidRDefault="00444693" w:rsidP="006165DA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доходы в сумме 6626,4 </w:t>
      </w:r>
      <w:r w:rsidR="006165DA" w:rsidRPr="00B716D8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58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46,4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% от доходов бюджета;</w:t>
      </w:r>
    </w:p>
    <w:p w:rsidR="006165DA" w:rsidRPr="00B716D8" w:rsidRDefault="006165DA" w:rsidP="006165DA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sz w:val="28"/>
          <w:szCs w:val="28"/>
        </w:rPr>
        <w:t>неналоговые доходы в су</w:t>
      </w:r>
      <w:r w:rsidR="00444693">
        <w:rPr>
          <w:rFonts w:ascii="Times New Roman" w:hAnsi="Times New Roman" w:cs="Times New Roman"/>
          <w:sz w:val="28"/>
          <w:szCs w:val="28"/>
        </w:rPr>
        <w:t>мме 3430,9</w:t>
      </w:r>
      <w:r w:rsidRPr="00B716D8">
        <w:rPr>
          <w:rFonts w:ascii="Times New Roman" w:hAnsi="Times New Roman" w:cs="Times New Roman"/>
          <w:sz w:val="28"/>
          <w:szCs w:val="28"/>
        </w:rPr>
        <w:t xml:space="preserve"> тыс</w:t>
      </w:r>
      <w:r w:rsidR="008858D4">
        <w:rPr>
          <w:rFonts w:ascii="Times New Roman" w:hAnsi="Times New Roman" w:cs="Times New Roman"/>
          <w:sz w:val="28"/>
          <w:szCs w:val="28"/>
        </w:rPr>
        <w:t>яч</w:t>
      </w:r>
      <w:r w:rsidRPr="00B716D8">
        <w:rPr>
          <w:rFonts w:ascii="Times New Roman" w:hAnsi="Times New Roman" w:cs="Times New Roman"/>
          <w:sz w:val="28"/>
          <w:szCs w:val="28"/>
        </w:rPr>
        <w:t xml:space="preserve"> руб</w:t>
      </w:r>
      <w:r w:rsidR="008858D4">
        <w:rPr>
          <w:rFonts w:ascii="Times New Roman" w:hAnsi="Times New Roman" w:cs="Times New Roman"/>
          <w:sz w:val="28"/>
          <w:szCs w:val="28"/>
        </w:rPr>
        <w:t>лей,</w:t>
      </w:r>
      <w:r w:rsidR="00444693">
        <w:rPr>
          <w:rFonts w:ascii="Times New Roman" w:hAnsi="Times New Roman" w:cs="Times New Roman"/>
          <w:sz w:val="28"/>
          <w:szCs w:val="28"/>
        </w:rPr>
        <w:t xml:space="preserve"> или 24,0</w:t>
      </w:r>
      <w:r w:rsidRPr="00B716D8">
        <w:rPr>
          <w:rFonts w:ascii="Times New Roman" w:hAnsi="Times New Roman" w:cs="Times New Roman"/>
          <w:sz w:val="28"/>
          <w:szCs w:val="28"/>
        </w:rPr>
        <w:t xml:space="preserve"> % от доходов бюджета;</w:t>
      </w:r>
    </w:p>
    <w:p w:rsidR="006165DA" w:rsidRDefault="006165DA" w:rsidP="00CB2488">
      <w:pPr>
        <w:pStyle w:val="ad"/>
        <w:numPr>
          <w:ilvl w:val="0"/>
          <w:numId w:val="29"/>
        </w:numPr>
        <w:spacing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sz w:val="28"/>
          <w:szCs w:val="28"/>
        </w:rPr>
        <w:t>безвозмез</w:t>
      </w:r>
      <w:r w:rsidR="00444693">
        <w:rPr>
          <w:rFonts w:ascii="Times New Roman" w:hAnsi="Times New Roman" w:cs="Times New Roman"/>
          <w:sz w:val="28"/>
          <w:szCs w:val="28"/>
        </w:rPr>
        <w:t>дные поступления в сумме 4219,5</w:t>
      </w:r>
      <w:r w:rsidRPr="00B716D8">
        <w:rPr>
          <w:rFonts w:ascii="Times New Roman" w:hAnsi="Times New Roman" w:cs="Times New Roman"/>
          <w:sz w:val="28"/>
          <w:szCs w:val="28"/>
        </w:rPr>
        <w:t xml:space="preserve"> тыс</w:t>
      </w:r>
      <w:r w:rsidR="008858D4">
        <w:rPr>
          <w:rFonts w:ascii="Times New Roman" w:hAnsi="Times New Roman" w:cs="Times New Roman"/>
          <w:sz w:val="28"/>
          <w:szCs w:val="28"/>
        </w:rPr>
        <w:t>яч</w:t>
      </w:r>
      <w:r w:rsidRPr="00B716D8">
        <w:rPr>
          <w:rFonts w:ascii="Times New Roman" w:hAnsi="Times New Roman" w:cs="Times New Roman"/>
          <w:sz w:val="28"/>
          <w:szCs w:val="28"/>
        </w:rPr>
        <w:t xml:space="preserve"> руб</w:t>
      </w:r>
      <w:r w:rsidR="008858D4">
        <w:rPr>
          <w:rFonts w:ascii="Times New Roman" w:hAnsi="Times New Roman" w:cs="Times New Roman"/>
          <w:sz w:val="28"/>
          <w:szCs w:val="28"/>
        </w:rPr>
        <w:t>лей,</w:t>
      </w:r>
      <w:r w:rsidR="00444693">
        <w:rPr>
          <w:rFonts w:ascii="Times New Roman" w:hAnsi="Times New Roman" w:cs="Times New Roman"/>
          <w:sz w:val="28"/>
          <w:szCs w:val="28"/>
        </w:rPr>
        <w:t xml:space="preserve"> или 29,6</w:t>
      </w:r>
      <w:r w:rsidRPr="00B716D8">
        <w:rPr>
          <w:rFonts w:ascii="Times New Roman" w:hAnsi="Times New Roman" w:cs="Times New Roman"/>
          <w:sz w:val="28"/>
          <w:szCs w:val="28"/>
        </w:rPr>
        <w:t xml:space="preserve"> % от доходов бюджета.</w:t>
      </w:r>
    </w:p>
    <w:p w:rsidR="00A01DD9" w:rsidRPr="00A01DD9" w:rsidRDefault="00A01DD9" w:rsidP="00A01D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1DD9">
        <w:rPr>
          <w:rFonts w:ascii="Times New Roman" w:hAnsi="Times New Roman" w:cs="Times New Roman"/>
          <w:sz w:val="28"/>
          <w:szCs w:val="28"/>
        </w:rPr>
        <w:t xml:space="preserve">Динамика поступлений доходов в бюджет </w:t>
      </w:r>
      <w:proofErr w:type="spellStart"/>
      <w:r w:rsidRPr="00A01DD9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Pr="00A01DD9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444693">
        <w:rPr>
          <w:rFonts w:ascii="Times New Roman" w:hAnsi="Times New Roman" w:cs="Times New Roman"/>
          <w:sz w:val="28"/>
          <w:szCs w:val="28"/>
        </w:rPr>
        <w:t>ления Тбилисского района за 2014</w:t>
      </w:r>
      <w:r w:rsidRPr="00A01DD9">
        <w:rPr>
          <w:rFonts w:ascii="Times New Roman" w:hAnsi="Times New Roman" w:cs="Times New Roman"/>
          <w:sz w:val="28"/>
          <w:szCs w:val="28"/>
        </w:rPr>
        <w:t xml:space="preserve"> год и два предшествующих года отражены в таблице:</w:t>
      </w:r>
    </w:p>
    <w:p w:rsidR="00A01DD9" w:rsidRPr="00DF1A1C" w:rsidRDefault="00DF1A1C" w:rsidP="00A01D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A1C">
        <w:rPr>
          <w:rFonts w:ascii="Times New Roman" w:hAnsi="Times New Roman" w:cs="Times New Roman"/>
          <w:sz w:val="28"/>
          <w:szCs w:val="28"/>
        </w:rPr>
        <w:t>Динамика темпов  роста поступления доходов в бюджет поселения за три года</w:t>
      </w:r>
    </w:p>
    <w:p w:rsidR="00A01DD9" w:rsidRPr="00A01DD9" w:rsidRDefault="00A01DD9" w:rsidP="00A01DD9">
      <w:pPr>
        <w:pStyle w:val="ad"/>
        <w:spacing w:after="0"/>
        <w:ind w:left="1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01DD9">
        <w:rPr>
          <w:rFonts w:ascii="Times New Roman" w:hAnsi="Times New Roman" w:cs="Times New Roman"/>
          <w:sz w:val="28"/>
          <w:szCs w:val="28"/>
        </w:rPr>
        <w:t>Таблица (тыс. руб.)</w:t>
      </w: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2621"/>
        <w:gridCol w:w="801"/>
        <w:gridCol w:w="801"/>
        <w:gridCol w:w="801"/>
        <w:gridCol w:w="801"/>
        <w:gridCol w:w="1072"/>
        <w:gridCol w:w="801"/>
        <w:gridCol w:w="801"/>
        <w:gridCol w:w="1072"/>
      </w:tblGrid>
      <w:tr w:rsidR="00A01DD9" w:rsidTr="0046177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="00A01DD9" w:rsidRPr="00742C0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="00A01DD9" w:rsidRPr="00742C0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2013/2012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="00A01DD9" w:rsidRPr="00742C0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2014/2013</w:t>
            </w:r>
          </w:p>
        </w:tc>
      </w:tr>
      <w:tr w:rsidR="00A01DD9" w:rsidTr="0046177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D9" w:rsidRPr="00DC3280" w:rsidRDefault="00A01DD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DD9" w:rsidRPr="00742C09" w:rsidRDefault="00A01DD9" w:rsidP="004617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DD9" w:rsidRPr="00742C09" w:rsidRDefault="00A01DD9" w:rsidP="004617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1333,3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1328,0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1387,9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847,0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848,8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691,7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715,2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</w:tr>
      <w:tr w:rsidR="00A01DD9" w:rsidTr="00461772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2481,7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2734,0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2777,2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4F716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737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</w:tr>
      <w:tr w:rsidR="00CA28EF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Pr="00DC3280" w:rsidRDefault="00CA28EF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Pr="00DC3280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Pr="00DC3280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Pr="00DC3280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Pr="00DC3280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Pr="00DC3280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F" w:rsidRDefault="00CA28EF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2650,0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2741,8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2720,4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D65A0C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8318,2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бюджетным поселениям для выравнивания уровня бюджетной обеспеченности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2176,9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2176,9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1548,6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1548,6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</w:tr>
      <w:tr w:rsidR="00A01DD9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от других бюджетов бюджетной системы РФ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6861,7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6851,7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7717,6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7233,1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</w:tr>
      <w:tr w:rsidR="00737E96" w:rsidTr="00737E9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6" w:rsidRPr="00DC3280" w:rsidRDefault="00737E96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1471,4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F12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1410,7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6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  <w:r w:rsidR="00737E96"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E96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6" w:rsidRPr="00DC3280" w:rsidRDefault="00737E96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37E9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8C430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E96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6" w:rsidRPr="00DC3280" w:rsidRDefault="00737E96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образований от возврата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85F1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85F1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85F1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E96" w:rsidTr="004617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6" w:rsidRPr="00DC3280" w:rsidRDefault="00737E96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районов,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-303,4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-303,4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62C0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2333,8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85F1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85F1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E96" w:rsidRPr="00DC3280" w:rsidRDefault="00785F1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</w:tr>
      <w:tr w:rsidR="00737E96" w:rsidRPr="007870EC" w:rsidTr="00767438">
        <w:trPr>
          <w:trHeight w:val="7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37E96" w:rsidRPr="007870EC" w:rsidRDefault="00737E96" w:rsidP="007674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0E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16657,7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16934,2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19137,6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18726,6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14532,2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14276,8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38" w:rsidRDefault="00767438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37E96" w:rsidRPr="007870EC" w:rsidRDefault="00785F14" w:rsidP="007674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76,2</w:t>
            </w:r>
          </w:p>
        </w:tc>
      </w:tr>
    </w:tbl>
    <w:p w:rsidR="00A01DD9" w:rsidRPr="00A01DD9" w:rsidRDefault="00A01DD9" w:rsidP="00767438">
      <w:pPr>
        <w:spacing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 на доходы физических лиц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НДФЛ в 2014 году составило 1405,7 тысяч ру</w:t>
      </w:r>
      <w:r w:rsidR="00BC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блей, что на  0,4% или 5,7 тыс. руб.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превысило плановый показатель. По сравнению с 2013 годом темп прироста составил 1,3%, что объясняется повышением заработной платы в бюджетной сфере по поселению в течение года.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1990725"/>
            <wp:effectExtent l="0" t="0" r="0" b="0"/>
            <wp:docPr id="32" name="Диаграмма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изменениями, внесенными в бюджетное законодательство, начиная с 2014 года в бюджет поселения по утвержденным нормативам поступают акцизы на дизельное топливо, моторные масла, автомобильный бензин, прямогонный бензин. В целом за год поступило 1557,2 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превысило плановый показатель</w:t>
      </w:r>
      <w:r w:rsidR="00BC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3,6 %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1990725"/>
            <wp:effectExtent l="0" t="0" r="0" b="0"/>
            <wp:docPr id="31" name="Диаграмма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A28EF" w:rsidRPr="00CA28EF" w:rsidRDefault="00CA28EF" w:rsidP="00AC002E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сельскохозяйственный налог</w:t>
      </w:r>
    </w:p>
    <w:p w:rsidR="00BA67A1" w:rsidRDefault="00BA67A1" w:rsidP="00AC002E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ЕСХН в отчетном году составило 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469,3 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0,07%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Темп роста по сравнению с предыдущим периодом отрицательный и составил 65,6%.  Уменьшение поступления ЕСХН вызвано высокой себестоимостью продукции, а так же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приобретением </w:t>
      </w:r>
      <w:proofErr w:type="spellStart"/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сельхозтоваропроизводителями</w:t>
      </w:r>
      <w:proofErr w:type="spellEnd"/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техники.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1990725"/>
            <wp:effectExtent l="0" t="0" r="0" b="0"/>
            <wp:docPr id="30" name="Диаграмма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C002E" w:rsidRDefault="00AC002E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физических лиц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налога на имущество физических лиц в отчетном году составило 380,2 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превысило плановый показатель на 0,07%. Темп прироста по сравнению с предыдущим периодом составил 39,3%, в связи с увеличением инвентаризационной стоимости имущества в 1,5 раза.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1990725"/>
            <wp:effectExtent l="0" t="0" r="0" b="0"/>
            <wp:docPr id="29" name="Диаграмма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438" w:rsidRPr="00CA28EF" w:rsidRDefault="00CA28EF" w:rsidP="0076743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Основную долю в сумме налоговых доходов по </w:t>
      </w:r>
      <w:proofErr w:type="spell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Геймановскому</w:t>
      </w:r>
      <w:proofErr w:type="spell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Тбилисского района составил земельный налог. Поступление данного налога в 2014 году составило 2813,9 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превышает плановый показатель на 3,3%. В отчетном году произошло увеличение поступлений на 1,3% в связи с выкуп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в собственность в 2014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земельных участков в размере 297755 кв.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86200" cy="2114550"/>
            <wp:effectExtent l="0" t="0" r="0" b="0"/>
            <wp:docPr id="28" name="Диаграмма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и перерасчеты по отмененным налогам, сборам и иным обязательным платежам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земельного налога по обязательствам, возникшим до 1 января 2006 года в 2014 году составило 0,01 тыс.</w:t>
      </w:r>
      <w:r w:rsidR="0036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на 99,9% меньше чем в предыдущем периоде. В основном происходило поступление пени по данному налогу.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86200" cy="1990725"/>
            <wp:effectExtent l="0" t="0" r="0" b="0"/>
            <wp:docPr id="23" name="Диаграмм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F1A1C" w:rsidRDefault="00DF1A1C" w:rsidP="00CA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сдачи в аренду имущества, находящегося в государственной и муниципальной собственности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по данному виду неналоговых поступлений в отчетном году составило 2753,7 тыс.</w:t>
      </w:r>
      <w:r w:rsidR="0036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на 3,5% или на 93,7 тыс.</w:t>
      </w:r>
      <w:r w:rsidR="0036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больше запланированной суммы, и на 1,2 % больше, чем в 2013 году. Положительный темп роста обоснован увеличением арендной платы по результатам проведения торгов.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86200" cy="1990725"/>
            <wp:effectExtent l="0" t="0" r="0" b="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продажи земельных участков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36091A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доходов от  продажи земельных участков, государственная собственность на которые не разграничена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составили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677,2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на 0,4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больше планового назначения и на 85,0% больше, чем в предыдущем аналогичном периоде. Выкуп земельных участков был произведен следующими хозяйствующими субъектами: КФХ Ручкин А.Г. – 144142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м., КФХ Воскобоев В.А. – 241041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м., КФХ </w:t>
      </w:r>
      <w:proofErr w:type="spellStart"/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Хурчак</w:t>
      </w:r>
      <w:proofErr w:type="spellEnd"/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145426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52850" cy="21717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перечисления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бюджетам поселений для выравнивания уровня бюджетной обеспеченности муниципальных образований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дотаций в 2014 году составило 983,1тыс.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назначений. Данная сумма на 36,5% меньше, чем поступления в 2013 году.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от других бюджетов бюджетной системы РФ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субвенций в отчетном году составило 199,2 тыс.</w:t>
      </w:r>
      <w:r w:rsidR="00CE5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100% от плановых назначений. Темп прироста данных поступлений больше на  25,5%, чем 2013 году и вызван увеличением финансирования на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специалиста воинского учета администрации </w:t>
      </w:r>
      <w:proofErr w:type="spell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и административной комиссии.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от других бюджетов бюджетной системы РФ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Поступление субсидий в отчетном периоде составило 3016,1 тыс.</w:t>
      </w:r>
      <w:r w:rsidR="00CE5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85,8% от плановых назначений. Темп роста по сравнению с предыдущим аналогичным периодом - 41,7% связан с сокращением участия </w:t>
      </w:r>
      <w:proofErr w:type="spell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мановского</w:t>
      </w:r>
      <w:proofErr w:type="spellEnd"/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билисского района в краевых целевых программах на условиях </w:t>
      </w:r>
      <w:proofErr w:type="spell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2014 году поселение приняло участие в следующих программах: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Подпрограмма «Капитальный ремонт и ремонт автомобильных дорог местного значения Краснодарского края на 2014-2016 годы» ГП КК «Комплексное и устойчивое развитие Краснодарского края в сфере строительства, архитектуры и дорожного хозяйства» в сумме 1600,0 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Подпрограмма «Кадровое обеспечение сферы культуры и искусства» ГП КК «Развитие культуры» в сумме 1128,4 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было поступление субсидии на комплексное развитие систем коммунальной </w:t>
      </w:r>
      <w:proofErr w:type="gram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proofErr w:type="gram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Краснодарского края в размере 287,9 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 – </w:t>
      </w:r>
      <w:proofErr w:type="gram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израсходована на погашение кредиторской задолженности возникшей по итогам 2013 года, в связи с несвоевременным перечислением денежных средств из краевого бюджета.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субсидий меньше плановых назначений вызвано тем, что </w:t>
      </w:r>
      <w:proofErr w:type="spell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Геймановскому</w:t>
      </w:r>
      <w:proofErr w:type="spell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Тбилисского района была утверждена субсидия на реализацию мероприятий по подготовке к осенне-зимнему периоду в сумме 50,0 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но в связи с заключением контракта на поставку водонапорной башни 30.12.2014г., перечисление су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>бсидии перенесено  на 2015 год.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иных межбюджетных трансфертов происходило в рамках МЦП «Развитие материально-технической базы учреждений культуры и досуга сельских поселений Тбилисского района на 2014 год» из бюджета МО Тбилисский район в сумме 60,7 тыс. руб., на погашение кредиторской задолженности возникшей в 2013 году за замену деревянных окон и дверных проемов </w:t>
      </w:r>
      <w:proofErr w:type="gramStart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металлопластиковые. Темп роста по сравнению с предыдущим периодом составил 4,3%.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24450" cy="273367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бюджетов муниципальных образований от возврата остатков субсидий, субвенций и иных межбюджетных трансфертов, имеющих целевое назначение, прошлых лет из бюджетов муниципальных образований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все средства, переданные из бюджета поселения в виде субвенций в бюджет МО Тбилисский район, как финансовое обеспечение полномочий по библиотечному обслуживанию, содержанию аварийно-спасательного формирования, контрольно-счетного органа поселения были израсходованы полностью. 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86200" cy="199072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районов, поселений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93498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бюджета поселения были произведены возвраты остатков целевых средств, переданных из краевого бюджета в рамках следующих целевых программ: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-  ВЦП ««Содействие субъектам физической культуры и спорта и развитие массового спорта на территории Кубани» на 2012-2014 годы (5106,91 руб.);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ДКЦП «Кадровое обеспечение сферы культуры и искусства Краснодарского края» на 2011-2013 годы (20379,04 руб.).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МО Тбилисский район на осуществление первичного воинского учета на территориях, где отсутствуют военные комиссариаты -  (14343,43 руб.).  По сравнению с 2013 годом сумма возвратов стала меньше на 86,9%. Это связано с целевым и максимально возможным использованием выделенных средств.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0" cy="199072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8591F" w:rsidRPr="00E8591F" w:rsidRDefault="009858A3" w:rsidP="00767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 по расходам бюджета </w:t>
      </w:r>
      <w:proofErr w:type="spellStart"/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Геймановского</w:t>
      </w:r>
      <w:proofErr w:type="spellEnd"/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Тбилисского района за 2014 год по разделам и подразделам классификации расходов бюджетов Российской Федерации</w:t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93498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Расходование бюджетных средств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осуществляется в строгом соответствии с утвержденными бюджетными сметами расходов и ведомственными целевыми программами. Главным распорядителем бюджетных средств является администрация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района, которая производит расходы согласно решениям Совета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об утверждении бюджета поселения на очередной год. </w:t>
      </w:r>
      <w:r w:rsidRPr="00E85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бюджета сельского поселения определены исходя из установленных законодательством полномочий сельского поселения по исполнению расходных обязательств.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части расходования бюджетных ассигнований был исполнен в отчетном периоде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13996,4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составляет 87,7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уточненному годовому назначению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15953,6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Уточненные плановые ассигнования по сравнению с первоначальным планом увеличились на 43,5%, что вызвано участием поселения в краевых целевых программах.  Темп роста расхода бюджетных ассигнований в 2014 году по сравнению с 2013 годом составил 71,5%. Уменьшение расходов обосновано участием в 2013 – 2014 годах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краевых целевых программах на условиях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выделением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субсидий из краевого бюджета в отчетном периоде в меньшем размере, чем в 2013 году.</w:t>
      </w:r>
    </w:p>
    <w:p w:rsid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осуществления расходов по разделам и подразделам из бюджета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2014 году и два предшеству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года отражены в таблице: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2DB0" w:rsidRDefault="00BB2DB0" w:rsidP="00E85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DB0" w:rsidRPr="00DF1A1C" w:rsidRDefault="00DF1A1C" w:rsidP="00BB2DB0">
      <w:pPr>
        <w:tabs>
          <w:tab w:val="left" w:pos="241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A1C">
        <w:rPr>
          <w:rFonts w:ascii="Times New Roman" w:hAnsi="Times New Roman" w:cs="Times New Roman"/>
          <w:sz w:val="28"/>
          <w:szCs w:val="28"/>
        </w:rPr>
        <w:t>Динамика темпов роста расходования средств бюджета поселения за три года</w:t>
      </w:r>
    </w:p>
    <w:p w:rsidR="00BB2DB0" w:rsidRPr="00EF5B60" w:rsidRDefault="00BB2DB0" w:rsidP="00BB2D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5B60">
        <w:rPr>
          <w:rFonts w:ascii="Times New Roman" w:hAnsi="Times New Roman" w:cs="Times New Roman"/>
          <w:sz w:val="28"/>
          <w:szCs w:val="28"/>
        </w:rPr>
        <w:t>Таблица (тыс. руб.)</w:t>
      </w:r>
    </w:p>
    <w:tbl>
      <w:tblPr>
        <w:tblStyle w:val="ae"/>
        <w:tblW w:w="9889" w:type="dxa"/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1134"/>
        <w:gridCol w:w="992"/>
        <w:gridCol w:w="992"/>
        <w:gridCol w:w="992"/>
        <w:gridCol w:w="851"/>
        <w:gridCol w:w="992"/>
        <w:gridCol w:w="992"/>
        <w:gridCol w:w="709"/>
      </w:tblGrid>
      <w:tr w:rsidR="00313BDA" w:rsidRPr="00EF5B60" w:rsidTr="000523A2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Наименование вида расходов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2012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2013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Темп роста</w:t>
            </w:r>
          </w:p>
          <w:p w:rsidR="00BB2DB0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2013/2012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2014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Темп роста</w:t>
            </w:r>
          </w:p>
          <w:p w:rsidR="00BB2DB0" w:rsidRPr="000523A2" w:rsidRDefault="00A8499E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2014/2013</w:t>
            </w:r>
          </w:p>
        </w:tc>
      </w:tr>
      <w:tr w:rsidR="00313BDA" w:rsidRPr="00EF5B60" w:rsidTr="000523A2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103,2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2242,5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2214,2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166,5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Обеспечение деятельности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114,6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в муниципальном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268,4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3250,5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2925,8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3801,4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3773,8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3238,9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3231,1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85,6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142,6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194,1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136,1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126,1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102,3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5808,1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5656,3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6053,8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6052,4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3402,9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2791,1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46,1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982,5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41,4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915,5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77,3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1372,1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1709,2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1692,3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761,7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45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-</w:t>
            </w:r>
          </w:p>
        </w:tc>
      </w:tr>
      <w:tr w:rsidR="00313BDA" w:rsidRPr="00EF5B60" w:rsidTr="000523A2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2598,6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2319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4390,1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4015,1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3345,7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2812,5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70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5,1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средств массовой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46,5</w:t>
            </w:r>
          </w:p>
        </w:tc>
      </w:tr>
      <w:tr w:rsidR="00313BDA" w:rsidRPr="00EF5B60" w:rsidTr="00052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DA" w:rsidRPr="000523A2" w:rsidRDefault="00313BDA" w:rsidP="0002741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 xml:space="preserve">Обслуживание государственного внутреннего и </w:t>
            </w:r>
            <w:r w:rsidRPr="000523A2">
              <w:rPr>
                <w:rFonts w:ascii="Times New Roman" w:hAnsi="Times New Roman" w:cs="Times New Roman"/>
              </w:rPr>
              <w:lastRenderedPageBreak/>
              <w:t>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lastRenderedPageBreak/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77,9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DA" w:rsidRPr="000523A2" w:rsidRDefault="00313BDA" w:rsidP="00027419">
            <w:r w:rsidRPr="000523A2">
              <w:t>149,5</w:t>
            </w:r>
          </w:p>
        </w:tc>
      </w:tr>
      <w:tr w:rsidR="00980F6F" w:rsidRPr="00EF5B60" w:rsidTr="000523A2">
        <w:trPr>
          <w:trHeight w:val="35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6F" w:rsidRPr="000523A2" w:rsidRDefault="00980F6F" w:rsidP="00027419">
            <w:pPr>
              <w:rPr>
                <w:rFonts w:ascii="Times New Roman" w:hAnsi="Times New Roman" w:cs="Times New Roman"/>
                <w:b/>
              </w:rPr>
            </w:pPr>
            <w:r w:rsidRPr="000523A2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027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A2">
              <w:t>16976,9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767438">
            <w:r w:rsidRPr="000523A2">
              <w:t>15642,5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027419">
            <w:r w:rsidRPr="000523A2">
              <w:t>20453,5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027419">
            <w:r w:rsidRPr="000523A2">
              <w:t>19581,0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767438">
            <w:r w:rsidRPr="000523A2">
              <w:t>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767438">
            <w:r w:rsidRPr="000523A2">
              <w:t>15953,6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767438">
            <w:r w:rsidRPr="000523A2">
              <w:t>13996,4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6F" w:rsidRPr="000523A2" w:rsidRDefault="00980F6F" w:rsidP="00027419">
            <w:r w:rsidRPr="000523A2">
              <w:t>71,5</w:t>
            </w:r>
          </w:p>
        </w:tc>
      </w:tr>
    </w:tbl>
    <w:p w:rsidR="00BB2DB0" w:rsidRDefault="00BB2DB0" w:rsidP="00BB2DB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591F" w:rsidRPr="00E8591F" w:rsidRDefault="00E8591F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 функциональной классификации расходов бюджета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2014 году представлено в структуре по видам расходов.</w:t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FD20424" wp14:editId="66F5C3B3">
            <wp:extent cx="5772150" cy="5210175"/>
            <wp:effectExtent l="0" t="0" r="0" b="0"/>
            <wp:docPr id="33" name="Диаграмма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0102 Функционирование высшего должностного лица местного самоуправления.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расходах в размере 564,2 тыс.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99,8%. Затраты на данный вид расходов в отчетном году увеличены по сравнению с предыдущим годом на 3,2% в связи с повышением окладов с 01.10.2013г. на 5,5%, с 01.10.2014г. на 5,5%.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Раздел 0104 Функционирование органов власти местного самоуправления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расходах в размере 2242,5 тыс.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2214,2 тыс.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т.е. 98,7%. Экономия средств возникла по фонду оплаты труда в связи с 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выплатами по листам нетрудоспособности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по данному виду по сравнению с предыдущим годом увеличены на 66,5%, в связи с  повышением окладов с 01.10.2013г. на 5,5%, с 01.10.2014г. на 5,5% и увеличением численности муниципальных служащих с 1 единицы до 4 единиц. По данному разделу бюджетные ассигнования были направлены на выплату заработной платы с начислениями, оплату услуг связи, проведено </w:t>
      </w:r>
      <w:proofErr w:type="gram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сотрудников по охране</w:t>
      </w:r>
      <w:proofErr w:type="gram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автострахование  гражданской ответственности, оплата налогов. Так же на основании соглашения о предоставлении субвенции бюджетам поселений на выполнение передаваемых полномочий субъектов РФ в части образования и организации деятельности административных комиссий из средств краевого бюджета были израсходованы средства на приобретение почтовых конвертов и канцтовары.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0106 Обеспечение деятельности финансового (финансово-бюджетного) надзора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на основании соглашения № 04 от 22.01.2014г. о передаче контрольно-счетной палате муниципального образования Тбилисский район полномочий по осуществлению внешнего муниципального финансового контроля были переданы субсидии в размере 22,0 тыс.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14,6%, больше, чем в предыдущем периоде. Данные бюджетные ассигнования были перечислены и освоены полностью.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0107 Обеспечение проведения выборов и референдумов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были проведены выборов главы сельского поселения и депутатского корпуса. На эти цели было выделено 268,4 тыс. руб., которые были полностью освоены. В предыдущем отчетном периоде выборы не проводились.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0111 Резервный фонд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2015 года резервный фонд поселения на случай возникновения ЧС составил 164,2 тыс.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Раздел 0113 Другие общегосударственные расходы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98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3231,1 тыс.</w:t>
      </w:r>
      <w:r w:rsidR="00B4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на 0,2%.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по сравнению  с 2013 годом составляет</w:t>
      </w:r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85,6% снижение </w:t>
      </w:r>
      <w:proofErr w:type="spellStart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обусловленно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сокращением финансирования муниципального бюджетного  учреждения, в связи с </w:t>
      </w:r>
      <w:proofErr w:type="gram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долгосрочными</w:t>
      </w:r>
      <w:proofErr w:type="gram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больничными, а так же проведением в предыдущем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периоде работ по текущему ремонту здания МБУ «По обеспечению деятельности АГСП». </w:t>
      </w:r>
    </w:p>
    <w:p w:rsidR="000523A2" w:rsidRDefault="00E8591F" w:rsidP="000523A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бюджетные ассигнования использовались на оплату госпошлины, перечисление субсидии МБУ «По обеспечению деятельности АГСП» на возмещение нормативных затрат, связанных с выполнением ими муниципальных услуг и содержанием имущества (выплата заработной платы, налоги, уголь, ГСМ, канцтовары,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топосъемка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ПСД на строительство парковки для маломобильных групп граждан, реконструкцию </w:t>
      </w:r>
      <w:r w:rsidR="000523A2" w:rsidRPr="000523A2">
        <w:rPr>
          <w:rFonts w:ascii="Times New Roman" w:eastAsia="Times New Roman" w:hAnsi="Times New Roman" w:cs="Times New Roman"/>
          <w:sz w:val="28"/>
          <w:szCs w:val="20"/>
          <w:lang w:eastAsia="ru-RU"/>
        </w:rPr>
        <w:t>вход</w:t>
      </w:r>
      <w:r w:rsidR="000523A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маломобильных групп населения в здании администрации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диагностика, ремонт и техобслуживание автомобиля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ремонт оргтехники, приобретение неисключительных лицензий на ПО, изготовление ключей ЭЦП, сопровождение ПО, приобретение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МФУ </w:t>
      </w:r>
      <w:r w:rsidRPr="00E8591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Canon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3010, флэш-накопителя,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технических планов и технических паспортов на объекты недвижимости, сбор информация для уточнения зап</w:t>
      </w:r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исей в </w:t>
      </w:r>
      <w:proofErr w:type="spellStart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книгах. На основании предписания </w:t>
      </w:r>
      <w:proofErr w:type="spellStart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Россельхознадзора</w:t>
      </w:r>
      <w:proofErr w:type="spellEnd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14.01.2014 года </w:t>
      </w:r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5.12/2014 поселением </w:t>
      </w:r>
      <w:r w:rsidR="000C12B4" w:rsidRPr="000523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оплачен административный штраф</w:t>
      </w:r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10,0 тыс. руб. за не проведение мероприятий по рекультивации на земельном участке </w:t>
      </w:r>
      <w:proofErr w:type="spellStart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сельхозназначения</w:t>
      </w:r>
      <w:proofErr w:type="spellEnd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10 кв. м. </w:t>
      </w:r>
      <w:proofErr w:type="gramStart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захламленному</w:t>
      </w:r>
      <w:proofErr w:type="gramEnd"/>
      <w:r w:rsidR="000C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отходами и потреблением. </w:t>
      </w:r>
      <w:r w:rsidR="000523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постановления судебных приставов от 18.06.2014 года № 34486/14/63/23 произведена оплата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исполнительского сбора</w:t>
      </w:r>
      <w:r w:rsidR="00052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50,0 тыс. руб. за не предоставление жилого помещения по договору социального найма.</w:t>
      </w:r>
    </w:p>
    <w:p w:rsidR="00E8591F" w:rsidRPr="00E8591F" w:rsidRDefault="000523A2" w:rsidP="000523A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ведомственных целевых программ были израсходованы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ВЦП «Территориальное общественное самоуправление в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Геймановском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r w:rsidR="00B22D3A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района» в 2014 году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компенсационные выплаты руководителям органов ТОС</w:t>
      </w:r>
      <w:r w:rsidR="00B22D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ВЦП «Комплексные меры по профилактике наркомании, алкоголизма и связанных с ними правонарушений на территории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B22D3A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района на 2014 год» -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баннера.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4DB7525" wp14:editId="0229E3BD">
            <wp:extent cx="5724525" cy="2505075"/>
            <wp:effectExtent l="0" t="0" r="0" b="0"/>
            <wp:docPr id="21" name="Диаграмма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22D3A" w:rsidRDefault="00B22D3A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B22D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оборона</w:t>
      </w:r>
    </w:p>
    <w:p w:rsidR="00B22D3A" w:rsidRDefault="00B22D3A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0203 Мобилизационная и вневойсковая подготовка</w:t>
      </w:r>
    </w:p>
    <w:p w:rsidR="00E8591F" w:rsidRPr="00E8591F" w:rsidRDefault="00B22D3A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назначениях</w:t>
      </w:r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195,3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194,1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или </w:t>
      </w:r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99,4%. Экономия средств сложилась из-за нахождения специалиста ВУ на больничном. Неиспользованный остаток субвенции в 2015 году возвращен в краевой бюджет. По сравнению с 2013 годом произошло увеличение расходов на 36,1%, что вызвано изменением системы оплаты труда специалиста ВУ.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24375" cy="1990725"/>
            <wp:effectExtent l="0" t="0" r="0" b="0"/>
            <wp:docPr id="20" name="Диаграм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22D3A" w:rsidRDefault="00B22D3A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безопасность и правоохранительная деятельность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0309 Защита населения и территории от последствий чрезвычайных ситуаций природного и техногенного характера, гражданская оборона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249,8 тыс.</w:t>
      </w:r>
      <w:r w:rsidR="00E4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фактические расходы составили 100%. Произведено финансирование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аварийно-спасательного отряда, изготовление листовок по ГО и ЧС, а также использовался финансовый резерв в рамках ЧС на доставку водонапорной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башни и ее установку. Увеличение  расходов в отчетном году по сравнению с 2013 годом на 26,1% связано с увеличением потребности в финансировании АСФ, а также возникновением ЧС в зимний период.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0314 Другие вопросы в области национальной безопасности и правоохранительной деятельности.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13,1 тыс.</w:t>
      </w:r>
      <w:r w:rsidR="00E4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100%. В рамках целевых программ были произведены следующие расходы: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ВЦП «По обеспечению противопожарной пропаганды и обучение мерам пожарной безопасности на территории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на 2014 год» - приобретен пожарный щит открытый;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ВЦП «По противодействию угрозам терроризма и проявлению экстремизма на территории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на 2014 год» -  изготовлены агитационные материалы (буклеты).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произошло незначительное увеличение финансирования данного вида расходов по сравнению  с предыдущим периодом на 2,3%.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2025" cy="1990725"/>
            <wp:effectExtent l="0" t="0" r="0" b="0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41A74" w:rsidRDefault="00E41A74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41A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экономика</w:t>
      </w:r>
    </w:p>
    <w:p w:rsidR="00E41A74" w:rsidRDefault="00E41A74" w:rsidP="00E41A74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0409 Дорожное хозяйство (дорожные фонды)</w:t>
      </w:r>
    </w:p>
    <w:p w:rsidR="00E8591F" w:rsidRPr="00E8591F" w:rsidRDefault="00E8591F" w:rsidP="00C43C5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были</w:t>
      </w:r>
      <w:r w:rsidR="00C4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произведены расходы в сумме  27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91,1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82,0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C43C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C43C55"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Темп роста расходов по сравнению с предыдущим периодом составил 46,1%, что связано с уменьшением финансирования из краевого бюджета в рамках государственных программ Краснодарского края.</w:t>
      </w:r>
      <w:r w:rsidR="00C4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Денежные ассигнования были направлены на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очистку от снега дорог поселения, ямочный ремонт ул. Красной от дома № 58 до дома № 71 и ул. Комсомольской от дома № 17 до дома № 37 и от дома № 93 до ул. Мира в ст.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Геймановской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исправление профиля оснований дорог с гравийным покрытием по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ул.Степной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х. Советский, услуги автогрейдера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(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грейдирование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ул.</w:t>
      </w:r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Комсомольской, Красной </w:t>
      </w:r>
      <w:proofErr w:type="spellStart"/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>ст.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Геймановской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услуги по разработке ПСД на капитальный ремонт дорог, приобретен концентрат минеральный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галит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песчанно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-гравийная смесь, капитальный ремонт дороги по ул.</w:t>
      </w:r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Буденного от дома</w:t>
      </w:r>
      <w:r w:rsidR="00C43C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6 до дома № 61 в х. Советском, а также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оплачен </w:t>
      </w:r>
      <w:r w:rsidRPr="00C43C55">
        <w:rPr>
          <w:rFonts w:ascii="Times New Roman" w:eastAsia="Times New Roman" w:hAnsi="Times New Roman" w:cs="Times New Roman"/>
          <w:sz w:val="28"/>
          <w:szCs w:val="20"/>
          <w:lang w:eastAsia="ru-RU"/>
        </w:rPr>
        <w:t>штраф в размере 300,0 тыс.</w:t>
      </w:r>
      <w:r w:rsidR="00170723" w:rsidRPr="00C43C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43C55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руб.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нарушение безопасности дорожного движения. </w:t>
      </w:r>
    </w:p>
    <w:p w:rsidR="00767438" w:rsidRDefault="00767438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0412 Другие вопросы в области национальной экономики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408,2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фактические расходы были осуществлены на 99,7%. Произведена корректировка топографической съемки земельного участка под построенным газопроводом, оплачены кадастровые работы для составления схем земельных участков. Так же в рамках 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ведомственной целевой программы «О развитии субъектов малого и среднего предпринимательства в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Геймановском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сельском поселении Тбилисского района на 2014 год» проведена публикация в СМИ информации для   субъектов малого и среднего предпринимательства</w:t>
      </w:r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была погашена кредиторская задолженность за разработку программы «Комплексное развитие систем коммунальной инфраструктуры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района» в сумме 287,9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за счет средств краевого бюджета.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составил 41,4%, что вызвано участием в 2013 году поселения в краевых целевых программах на условиях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краевым бюджетом.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38775" cy="2276475"/>
            <wp:effectExtent l="0" t="0" r="0" b="0"/>
            <wp:docPr id="18" name="Диаграмма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04599" w:rsidRDefault="00004599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0502 Коммунальное хозяйство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коммунальное хозяйство были произведены в 2014 году в размере 330,5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36,1% от плановых назначений. Низкий темп освоения денежных средств связан с тем, что финансирование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краевого бюджета по ГП КК «Развитие жилищно-коммунального хозяйства» в размере 500,0 тыс. руб., а также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местного бюджета в размере 50,0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перенесено на 2015 год из-за позднего заключения контракта на поставку водонапорной башни (30.12.2014г.)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Расходование средств производилось в рамках следующих ведомственных целевых программ: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«Развитие и реконструкция системы водоснабжения на территории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2014 году»: приобретены насосы ЭЦВ, а так же произведен ремонт старых насосов;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«Развитие системы газоснабжения в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Геймановском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Тбилисского района в 2014 году»: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техническое обслуживание, ремонт и аварийно-диспетчерское обеспечение газо</w:t>
      </w:r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провода и газового оборудования.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объема расходов по коммунальному хозяйству на 22,7% по сравнению с предыдущим периодом вызвано проведением в предыдущем периоде работ по завершению строительства газопровода низкого давления в х.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Советском и ввода его в эксплуатацию.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0503 Благоустройство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781,6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фактические расходы были осуществлены на 97,5%, т.е. в размере 761,7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Расходы осуществлялись только в рамках следующих ведомственных целевых программ: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Ведомственная целевая программа "Развитие систем наружного освещения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района в 2014 году"-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потребления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потребление электроэнергии (уличное освещение), обслуживание сетей наружного освещения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Тбилисского района;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Ведомственная целевая программа "Охрана и сохранение объектов культурного наследия, расположенных на территории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Тбилисского района на 2014 год"</w:t>
      </w:r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приобретение рассады цветов для мемориала погибшим в годы ВОВ;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Ведомственная целевая программа "Использование и охрана земель в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Геймановском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сельском поселении </w:t>
      </w:r>
      <w:r w:rsidR="00004599">
        <w:rPr>
          <w:rFonts w:ascii="Times New Roman" w:eastAsia="Times New Roman" w:hAnsi="Times New Roman" w:cs="Times New Roman"/>
          <w:sz w:val="28"/>
          <w:szCs w:val="20"/>
          <w:lang w:eastAsia="ru-RU"/>
        </w:rPr>
        <w:t>Тбилисского района на 2014 год"-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грейдирование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стихийной свалки.                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прироста по данным видам расходов по сравнению с предыдущим годом уменьшился на 55%, что связано с тем, что в текущем году ремонтные работы по уличному освещению в поселении не производились.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24450" cy="1990725"/>
            <wp:effectExtent l="0" t="0" r="0" b="0"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5D26FB" w:rsidRDefault="005D26FB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6FB" w:rsidRDefault="005D26FB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</w:t>
      </w:r>
    </w:p>
    <w:p w:rsidR="005D26FB" w:rsidRDefault="005D26FB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0605 Другие вопросы в области охраны окружающей среды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администрацией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был заключен договор на вывоз и утилизацию биологических отходов. При плановом назначении 1,0 тыс. рублей необходимости в осуществлении расходов не возникло. В 2013 году так же планировались расходы по данному виду, но фактических затрат не проводилось.</w:t>
      </w:r>
    </w:p>
    <w:p w:rsidR="00004599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0225" cy="1990725"/>
            <wp:effectExtent l="0" t="0" r="0" b="0"/>
            <wp:docPr id="16" name="Диаграм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004599" w:rsidRDefault="00004599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00459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Культура, кинематография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0801 Культура</w:t>
      </w:r>
    </w:p>
    <w:p w:rsidR="0084303A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3345,9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составил 2812,5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84,1%. </w:t>
      </w:r>
      <w:r w:rsidR="0084303A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по сравнению  с 2013 годом составляет 70,0%</w:t>
      </w:r>
      <w:r w:rsid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303A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уровень исполнения плановых назначений объясняется </w:t>
      </w:r>
      <w:r w:rsid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сокращением</w:t>
      </w:r>
      <w:r w:rsidR="0084303A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года штатной численности </w:t>
      </w:r>
      <w:r w:rsid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</w:t>
      </w:r>
      <w:proofErr w:type="spellStart"/>
      <w:r w:rsid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КДЦ»,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излишне предоставленной субсидии в рамках ГП Краснодарского края «Развитие культуры» по подпрограмме «Кадровое обеспечение сферы культуры и искусства». </w:t>
      </w:r>
      <w:proofErr w:type="gramEnd"/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разделу 0801 финансировалась только одна ведомственная целевая программа:</w:t>
      </w:r>
    </w:p>
    <w:p w:rsidR="00E8591F" w:rsidRDefault="0084303A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"Развитие культуры </w:t>
      </w:r>
      <w:proofErr w:type="spellStart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2014 году": оплата кредиторской задолженности возникшей в 2013 году за замену деревянных оконных и дверных блоков на металлопластиковые </w:t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(финансирование из бюджета МО Тбилисский район), проведение стимулирующих выплат в размере 3000,0 рублей ежемесячно, а так же повышение уровня средней заработной платы работникам МБУК «</w:t>
      </w:r>
      <w:proofErr w:type="spellStart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 на условиях </w:t>
      </w:r>
      <w:proofErr w:type="spellStart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E8591F"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краевым бюджетом.</w:t>
      </w:r>
    </w:p>
    <w:p w:rsidR="0017532C" w:rsidRDefault="00170723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обоснования предоставления субсидий на выполнение муниципального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МБУК «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 были потребованы нормативно-правовые акты, определяющие нормативные  затраты. В ходе проверки установлено, что порядок определения нормативных затрат, на основании которых определяется размер субсидий, не утвержден.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2025" cy="1990725"/>
            <wp:effectExtent l="0" t="0" r="0" b="0"/>
            <wp:docPr id="15" name="Диаграмма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004599" w:rsidRDefault="00004599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1102 Массовый спорт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показателе в 10,3 тыс.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фактическое исполнение составило 100%. Расходование денежных ассигнований производилось на проведение массовых спортивных мероприятий – награждение команд победителей, сувенирная продукция и т.п. 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расходов на 94,9%, по сравнению  с предыдущим отчетным периодом, связано с изменением финансирования  расходов на содержание инструктора по физической культуре – в 2013 году выплата заработной платы с начислениями из средств местного бюджета проходила по разделу 1102,  а в текущем периоде расходы перенесены на раздел 0801, так</w:t>
      </w:r>
      <w:r w:rsidR="000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инструктор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физической культуре является сотрудником МБУК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</w:t>
      </w:r>
      <w:proofErr w:type="gram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а</w:t>
      </w:r>
      <w:proofErr w:type="gramEnd"/>
      <w:r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.бретение</w:t>
      </w:r>
      <w:proofErr w:type="spellEnd"/>
      <w:r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 и установка десткой игровой площадки</w:t>
      </w:r>
      <w:proofErr w:type="gramStart"/>
      <w:r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.с</w:t>
      </w:r>
      <w:proofErr w:type="gramEnd"/>
      <w:r w:rsidRPr="00E8591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лужи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2025" cy="1990725"/>
            <wp:effectExtent l="0" t="0" r="0" b="0"/>
            <wp:docPr id="14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1204 Другие вопросы в области массовой информации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70,0 тыс.</w:t>
      </w:r>
      <w:r w:rsidR="0012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фактическое исполнение составило 97,9%. Расходы осуществлялись на публикацию в СМИ, изготовление НПА. Данный вид расходов по сравнению с 2013 годом сократился на 53,5%. Это вызвано публикацией в 2013 году объемного материала – правила землепользования и застройки 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и максимально возможным размещением информации в 2014 году на официальном сайте администрации поселения.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1990725"/>
            <wp:effectExtent l="0" t="0" r="0" b="0"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государственного  и муниципального долга</w:t>
      </w:r>
    </w:p>
    <w:p w:rsidR="00E8591F" w:rsidRPr="00E8591F" w:rsidRDefault="00E8591F" w:rsidP="00E85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1301 Обслуживание внутреннего государственного  и муниципального долга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сумме 60,0 тыс. руб. фактические расходы были произведены на 98,2%. По сравнению с предыдущим периодом расходы выросли на 49,5% в связи с проведенным погашением основного долга в 4 квартала 2014 года и оформлением нового кредита во втором полугодии 2014 года.</w:t>
      </w:r>
    </w:p>
    <w:p w:rsidR="00E8591F" w:rsidRPr="00E8591F" w:rsidRDefault="00E8591F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38750" cy="1990725"/>
            <wp:effectExtent l="0" t="0" r="0" b="0"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8591F" w:rsidRPr="00E8591F" w:rsidRDefault="009858A3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Источники </w:t>
      </w:r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дефицита бюджета </w:t>
      </w:r>
      <w:proofErr w:type="spellStart"/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Геймановского</w:t>
      </w:r>
      <w:proofErr w:type="spellEnd"/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Тбилисского района за 2014 год</w:t>
      </w:r>
    </w:p>
    <w:p w:rsidR="00F75468" w:rsidRDefault="00F75468" w:rsidP="00F754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468" w:rsidRPr="00B551ED" w:rsidRDefault="00F75468" w:rsidP="00934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Согласно представленным  в отчете последним  изменениям   в доходной и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Pr="003A2B8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3A2B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>, запла</w:t>
      </w:r>
      <w:r>
        <w:rPr>
          <w:rFonts w:ascii="Times New Roman" w:hAnsi="Times New Roman" w:cs="Times New Roman"/>
          <w:sz w:val="28"/>
          <w:szCs w:val="28"/>
        </w:rPr>
        <w:t>нированный  решением Совета от 31 декабря 2014</w:t>
      </w:r>
      <w:r w:rsidRPr="00B551E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32</w:t>
      </w:r>
      <w:r w:rsidR="002328EA">
        <w:rPr>
          <w:rFonts w:ascii="Times New Roman" w:hAnsi="Times New Roman" w:cs="Times New Roman"/>
          <w:sz w:val="28"/>
          <w:szCs w:val="28"/>
        </w:rPr>
        <w:t xml:space="preserve">,  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размер доходов,  составил </w:t>
      </w:r>
      <w:r w:rsidR="00F732CE">
        <w:rPr>
          <w:rFonts w:ascii="Times New Roman" w:hAnsi="Times New Roman" w:cs="Times New Roman"/>
          <w:sz w:val="28"/>
          <w:szCs w:val="28"/>
        </w:rPr>
        <w:t xml:space="preserve">14532,2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руб.,  размер расходов  составил </w:t>
      </w:r>
      <w:r w:rsidR="00F732CE">
        <w:rPr>
          <w:rFonts w:ascii="Times New Roman" w:eastAsia="Times New Roman" w:hAnsi="Times New Roman" w:cs="Times New Roman"/>
          <w:sz w:val="28"/>
          <w:szCs w:val="28"/>
          <w:lang w:eastAsia="ru-RU"/>
        </w:rPr>
        <w:t>15953,6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руб.,  что  соответствует отчету об исполнении бюджета (ф 0503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17). Источники финансирования дефицита бюджета утверждены этой сессией в </w:t>
      </w:r>
      <w:r w:rsidRPr="00063D47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732CE">
        <w:rPr>
          <w:rFonts w:ascii="Times New Roman" w:hAnsi="Times New Roman" w:cs="Times New Roman"/>
          <w:sz w:val="28"/>
          <w:szCs w:val="28"/>
        </w:rPr>
        <w:t>1421,5</w:t>
      </w:r>
      <w:r w:rsidRPr="00063D47">
        <w:rPr>
          <w:rFonts w:ascii="Times New Roman" w:hAnsi="Times New Roman" w:cs="Times New Roman"/>
          <w:sz w:val="28"/>
          <w:szCs w:val="28"/>
        </w:rPr>
        <w:t xml:space="preserve"> тыс. руб., что  соответствует данным отчета об исполнении бюджета (ф.0503117).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Доходная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исполнена на  9</w:t>
      </w:r>
      <w:r w:rsidR="00F732CE">
        <w:rPr>
          <w:rFonts w:ascii="Times New Roman" w:hAnsi="Times New Roman" w:cs="Times New Roman"/>
          <w:sz w:val="28"/>
          <w:szCs w:val="28"/>
        </w:rPr>
        <w:t>8,2</w:t>
      </w:r>
      <w:r w:rsidRPr="00B551ED">
        <w:rPr>
          <w:rFonts w:ascii="Times New Roman" w:hAnsi="Times New Roman" w:cs="Times New Roman"/>
          <w:sz w:val="28"/>
          <w:szCs w:val="28"/>
        </w:rPr>
        <w:t>%. Расход</w:t>
      </w:r>
      <w:r w:rsidR="00F732CE">
        <w:rPr>
          <w:rFonts w:ascii="Times New Roman" w:hAnsi="Times New Roman" w:cs="Times New Roman"/>
          <w:sz w:val="28"/>
          <w:szCs w:val="28"/>
        </w:rPr>
        <w:t>ная часть бюджета исполнена на 87,7</w:t>
      </w:r>
      <w:r w:rsidRPr="00B551ED">
        <w:rPr>
          <w:rFonts w:ascii="Times New Roman" w:hAnsi="Times New Roman" w:cs="Times New Roman"/>
          <w:sz w:val="28"/>
          <w:szCs w:val="28"/>
        </w:rPr>
        <w:t xml:space="preserve">%.  Объем  фактических расходов – </w:t>
      </w:r>
      <w:r w:rsidR="00F732CE">
        <w:rPr>
          <w:rFonts w:ascii="Times New Roman" w:hAnsi="Times New Roman" w:cs="Times New Roman"/>
          <w:sz w:val="28"/>
          <w:szCs w:val="28"/>
        </w:rPr>
        <w:t>13996,4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 не превышает запланированный – </w:t>
      </w:r>
      <w:r w:rsidR="00F732CE">
        <w:rPr>
          <w:rFonts w:ascii="Times New Roman" w:hAnsi="Times New Roman" w:cs="Times New Roman"/>
          <w:sz w:val="28"/>
          <w:szCs w:val="28"/>
        </w:rPr>
        <w:t>15953,6</w:t>
      </w:r>
      <w:r>
        <w:rPr>
          <w:rFonts w:ascii="Times New Roman" w:hAnsi="Times New Roman" w:cs="Times New Roman"/>
          <w:sz w:val="28"/>
          <w:szCs w:val="28"/>
        </w:rPr>
        <w:t xml:space="preserve"> тыс. руб., и не </w:t>
      </w:r>
      <w:r w:rsidRPr="00B551ED">
        <w:rPr>
          <w:rFonts w:ascii="Times New Roman" w:hAnsi="Times New Roman" w:cs="Times New Roman"/>
          <w:sz w:val="28"/>
          <w:szCs w:val="28"/>
        </w:rPr>
        <w:t>превышает объем</w:t>
      </w:r>
      <w:r>
        <w:rPr>
          <w:rFonts w:ascii="Times New Roman" w:hAnsi="Times New Roman" w:cs="Times New Roman"/>
          <w:sz w:val="28"/>
          <w:szCs w:val="28"/>
        </w:rPr>
        <w:t xml:space="preserve"> поступивших</w:t>
      </w:r>
      <w:r w:rsidRPr="00B551ED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F732CE">
        <w:rPr>
          <w:rFonts w:ascii="Times New Roman" w:hAnsi="Times New Roman" w:cs="Times New Roman"/>
          <w:sz w:val="28"/>
          <w:szCs w:val="28"/>
        </w:rPr>
        <w:t>280,4</w:t>
      </w:r>
      <w:r w:rsidR="00703F0F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 соответственно сложился профицит бюджета в 2014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составил:</w:t>
      </w:r>
    </w:p>
    <w:p w:rsidR="00F75468" w:rsidRPr="00B551ED" w:rsidRDefault="00F75468" w:rsidP="00934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F732CE">
        <w:rPr>
          <w:rFonts w:ascii="Times New Roman" w:hAnsi="Times New Roman" w:cs="Times New Roman"/>
          <w:sz w:val="28"/>
          <w:szCs w:val="28"/>
        </w:rPr>
        <w:t xml:space="preserve"> плану доходов и расходов </w:t>
      </w:r>
      <w:r w:rsidR="002328EA"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F732CE">
        <w:rPr>
          <w:rFonts w:ascii="Times New Roman" w:hAnsi="Times New Roman" w:cs="Times New Roman"/>
          <w:sz w:val="28"/>
          <w:szCs w:val="28"/>
        </w:rPr>
        <w:t>1421,5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75468" w:rsidRDefault="00F75468" w:rsidP="00934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По </w:t>
      </w:r>
      <w:r w:rsidR="00F732CE">
        <w:rPr>
          <w:rFonts w:ascii="Times New Roman" w:hAnsi="Times New Roman" w:cs="Times New Roman"/>
          <w:sz w:val="28"/>
          <w:szCs w:val="28"/>
        </w:rPr>
        <w:t xml:space="preserve">кассовому исполнению  </w:t>
      </w:r>
      <w:r w:rsidR="002328EA">
        <w:rPr>
          <w:rFonts w:ascii="Times New Roman" w:hAnsi="Times New Roman" w:cs="Times New Roman"/>
          <w:sz w:val="28"/>
          <w:szCs w:val="28"/>
        </w:rPr>
        <w:t>профицит в сумме</w:t>
      </w:r>
      <w:r w:rsidR="00F732CE">
        <w:rPr>
          <w:rFonts w:ascii="Times New Roman" w:hAnsi="Times New Roman" w:cs="Times New Roman"/>
          <w:sz w:val="28"/>
          <w:szCs w:val="28"/>
        </w:rPr>
        <w:t xml:space="preserve">  280,4</w:t>
      </w:r>
      <w:r>
        <w:rPr>
          <w:rFonts w:ascii="Times New Roman" w:hAnsi="Times New Roman" w:cs="Times New Roman"/>
          <w:sz w:val="28"/>
          <w:szCs w:val="28"/>
        </w:rPr>
        <w:t xml:space="preserve">  тыс. руб.  </w:t>
      </w:r>
    </w:p>
    <w:p w:rsidR="00F75468" w:rsidRDefault="00F75468" w:rsidP="00E8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32CE" w:rsidRDefault="00F732CE" w:rsidP="007920EB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5C23">
        <w:rPr>
          <w:rFonts w:ascii="Times New Roman" w:hAnsi="Times New Roman" w:cs="Times New Roman"/>
          <w:b/>
          <w:sz w:val="32"/>
          <w:szCs w:val="32"/>
        </w:rPr>
        <w:t xml:space="preserve">8. Государственный долг </w:t>
      </w:r>
      <w:r w:rsidRPr="006E5C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бюджета </w:t>
      </w:r>
      <w:r w:rsidRPr="006E5C23">
        <w:rPr>
          <w:rFonts w:ascii="Times New Roman" w:hAnsi="Times New Roman" w:cs="Times New Roman"/>
          <w:b/>
          <w:sz w:val="32"/>
          <w:szCs w:val="32"/>
        </w:rPr>
        <w:t xml:space="preserve">Тбилисского сельского поселения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 2014</w:t>
      </w:r>
      <w:r w:rsidRPr="006E5C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:rsidR="00414DE6" w:rsidRPr="00E8591F" w:rsidRDefault="00414DE6" w:rsidP="009349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2014 году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Геймановским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сельским поселением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получен кредит</w:t>
      </w:r>
      <w:r w:rsidRPr="00E8591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 АО Банк «Северный морской путь»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(контракт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0818300021914000392-0053704-02 от 15 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юля 2014 г.) на  сумму 960,0 тыс. руб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2014 году погашены</w:t>
      </w:r>
      <w:r w:rsidRPr="00E859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центы по муниципальному долгу  в сумме 58,9 тыс. руб</w:t>
      </w:r>
      <w:r w:rsidRPr="00E859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</w:p>
    <w:p w:rsidR="00F732CE" w:rsidRDefault="00F732CE" w:rsidP="0093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96">
        <w:rPr>
          <w:rFonts w:ascii="Times New Roman" w:hAnsi="Times New Roman" w:cs="Times New Roman"/>
          <w:sz w:val="28"/>
          <w:szCs w:val="28"/>
        </w:rPr>
        <w:t xml:space="preserve">Размер муниципального долга,  согласно форме  0503172,  на конец отчетного периода составил </w:t>
      </w:r>
      <w:r w:rsidR="002328EA">
        <w:rPr>
          <w:rFonts w:ascii="Times New Roman" w:hAnsi="Times New Roman" w:cs="Times New Roman"/>
          <w:sz w:val="28"/>
          <w:szCs w:val="28"/>
        </w:rPr>
        <w:t>960,0</w:t>
      </w:r>
      <w:r w:rsidRPr="00A47596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данным баланса  ф 05031</w:t>
      </w:r>
      <w:r w:rsidR="002328EA">
        <w:rPr>
          <w:rFonts w:ascii="Times New Roman" w:hAnsi="Times New Roman" w:cs="Times New Roman"/>
          <w:sz w:val="28"/>
          <w:szCs w:val="28"/>
        </w:rPr>
        <w:t>3</w:t>
      </w:r>
      <w:r w:rsidRPr="00A47596">
        <w:rPr>
          <w:rFonts w:ascii="Times New Roman" w:hAnsi="Times New Roman" w:cs="Times New Roman"/>
          <w:sz w:val="28"/>
          <w:szCs w:val="28"/>
        </w:rPr>
        <w:t xml:space="preserve">0. </w:t>
      </w:r>
      <w:r>
        <w:rPr>
          <w:rFonts w:ascii="Times New Roman" w:hAnsi="Times New Roman" w:cs="Times New Roman"/>
          <w:sz w:val="28"/>
          <w:szCs w:val="28"/>
        </w:rPr>
        <w:t>Муниципальных гарантий в 2014 году</w:t>
      </w:r>
      <w:r w:rsidRPr="00A475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F0F">
        <w:rPr>
          <w:rFonts w:ascii="Times New Roman" w:hAnsi="Times New Roman" w:cs="Times New Roman"/>
          <w:sz w:val="28"/>
          <w:szCs w:val="28"/>
        </w:rPr>
        <w:t>Гейманов</w:t>
      </w:r>
      <w:r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сельским поселением не выдавалось.</w:t>
      </w:r>
    </w:p>
    <w:p w:rsidR="005047DF" w:rsidRDefault="00703F0F" w:rsidP="009349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2CE" w:rsidRPr="00A47596">
        <w:rPr>
          <w:rFonts w:ascii="Times New Roman" w:hAnsi="Times New Roman" w:cs="Times New Roman"/>
          <w:sz w:val="28"/>
          <w:szCs w:val="28"/>
        </w:rPr>
        <w:t xml:space="preserve">Размер муниципального долга не превышает объем доходов без учета финансовой помощи из бюджетов других уровней, что соответствует </w:t>
      </w:r>
      <w:r w:rsidR="00F732CE" w:rsidRPr="00A47596">
        <w:rPr>
          <w:rFonts w:ascii="Times New Roman" w:hAnsi="Times New Roman" w:cs="Times New Roman"/>
          <w:sz w:val="28"/>
          <w:szCs w:val="28"/>
        </w:rPr>
        <w:lastRenderedPageBreak/>
        <w:t>условиям ограничения по статье 107 БК РФ (</w:t>
      </w:r>
      <w:r w:rsidR="00A35D2B">
        <w:rPr>
          <w:rFonts w:ascii="Times New Roman" w:hAnsi="Times New Roman" w:cs="Times New Roman"/>
          <w:sz w:val="28"/>
          <w:szCs w:val="28"/>
        </w:rPr>
        <w:t>960,0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F732CE" w:rsidRPr="008B4515">
        <w:rPr>
          <w:rFonts w:ascii="Times New Roman" w:hAnsi="Times New Roman" w:cs="Times New Roman"/>
          <w:sz w:val="28"/>
          <w:szCs w:val="28"/>
        </w:rPr>
        <w:t>≤  1</w:t>
      </w:r>
      <w:r w:rsidR="00A35D2B">
        <w:rPr>
          <w:rFonts w:ascii="Times New Roman" w:hAnsi="Times New Roman" w:cs="Times New Roman"/>
          <w:sz w:val="28"/>
          <w:szCs w:val="28"/>
        </w:rPr>
        <w:t>427,7</w:t>
      </w:r>
      <w:r w:rsidR="00F732CE" w:rsidRPr="008B4515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руб.)  и  предельный объем муниципального долга, утвержденный решением Совета Тбилисского сельского поселения от </w:t>
      </w:r>
      <w:r w:rsidR="00A35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.12.201</w:t>
      </w:r>
      <w:r w:rsidR="00F7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№ </w:t>
      </w:r>
      <w:r w:rsidR="00A35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размере  </w:t>
      </w:r>
      <w:r w:rsidR="00A35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</w:t>
      </w:r>
      <w:r w:rsidR="00F7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(</w:t>
      </w:r>
      <w:r w:rsidR="00A35D2B">
        <w:rPr>
          <w:rFonts w:ascii="Times New Roman" w:hAnsi="Times New Roman" w:cs="Times New Roman"/>
          <w:sz w:val="28"/>
          <w:szCs w:val="28"/>
        </w:rPr>
        <w:t>960,0</w:t>
      </w:r>
      <w:r w:rsidR="00F732CE">
        <w:rPr>
          <w:rFonts w:ascii="Times New Roman" w:hAnsi="Times New Roman" w:cs="Times New Roman"/>
          <w:sz w:val="28"/>
          <w:szCs w:val="28"/>
        </w:rPr>
        <w:t xml:space="preserve"> 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тыс. руб. ≤  </w:t>
      </w:r>
      <w:r w:rsidR="00A35D2B">
        <w:rPr>
          <w:rFonts w:ascii="Times New Roman" w:hAnsi="Times New Roman" w:cs="Times New Roman"/>
          <w:sz w:val="28"/>
          <w:szCs w:val="28"/>
        </w:rPr>
        <w:t>960,0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  <w:r w:rsidR="00F732CE" w:rsidRPr="00A47596">
        <w:rPr>
          <w:rFonts w:ascii="Times New Roman" w:hAnsi="Times New Roman" w:cs="Times New Roman"/>
          <w:sz w:val="28"/>
          <w:szCs w:val="28"/>
        </w:rPr>
        <w:t xml:space="preserve">   Объем расходов на обслуживание муниципального долга не превышает, установленные ст.111 Бюджетного кодекса РФ, ограничения муниципального долга в размере  15%  объема запланированных  расходов (</w:t>
      </w:r>
      <w:r w:rsidR="00A35D2B">
        <w:rPr>
          <w:rFonts w:ascii="Times New Roman" w:hAnsi="Times New Roman" w:cs="Times New Roman"/>
          <w:sz w:val="28"/>
          <w:szCs w:val="28"/>
        </w:rPr>
        <w:t xml:space="preserve">60,0 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тыс. руб.≤  </w:t>
      </w:r>
      <w:r>
        <w:rPr>
          <w:rFonts w:ascii="Times New Roman" w:hAnsi="Times New Roman" w:cs="Times New Roman"/>
          <w:sz w:val="28"/>
          <w:szCs w:val="28"/>
        </w:rPr>
        <w:t>2393,0</w:t>
      </w:r>
      <w:r w:rsidR="00F732CE">
        <w:rPr>
          <w:rFonts w:ascii="Times New Roman" w:hAnsi="Times New Roman" w:cs="Times New Roman"/>
          <w:sz w:val="28"/>
          <w:szCs w:val="28"/>
        </w:rPr>
        <w:t xml:space="preserve"> </w:t>
      </w:r>
      <w:r w:rsidR="00F732CE" w:rsidRPr="00A47596">
        <w:rPr>
          <w:rFonts w:ascii="Times New Roman" w:hAnsi="Times New Roman" w:cs="Times New Roman"/>
          <w:sz w:val="28"/>
          <w:szCs w:val="28"/>
        </w:rPr>
        <w:t>тыс. руб.).</w:t>
      </w:r>
    </w:p>
    <w:p w:rsidR="00FF4D1A" w:rsidRPr="008978EB" w:rsidRDefault="005047DF" w:rsidP="009349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F4D1A" w:rsidRPr="008978EB">
        <w:rPr>
          <w:rFonts w:ascii="Times New Roman" w:hAnsi="Times New Roman" w:cs="Times New Roman"/>
          <w:sz w:val="28"/>
          <w:szCs w:val="28"/>
        </w:rPr>
        <w:t>сходя из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данных  по полученным кредитам </w:t>
      </w:r>
      <w:r w:rsidR="00FF4D1A" w:rsidRPr="008978EB">
        <w:rPr>
          <w:rFonts w:ascii="Times New Roman" w:hAnsi="Times New Roman" w:cs="Times New Roman"/>
          <w:sz w:val="28"/>
          <w:szCs w:val="28"/>
        </w:rPr>
        <w:t xml:space="preserve"> раз</w:t>
      </w:r>
      <w:r w:rsidR="00FF4D1A">
        <w:rPr>
          <w:rFonts w:ascii="Times New Roman" w:hAnsi="Times New Roman" w:cs="Times New Roman"/>
          <w:sz w:val="28"/>
          <w:szCs w:val="28"/>
        </w:rPr>
        <w:t>мер муниципального долга  на  1 января 2015</w:t>
      </w:r>
      <w:r w:rsidR="00FF4D1A" w:rsidRPr="008978E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составил 960,0 </w:t>
      </w:r>
      <w:r w:rsidR="00FF4D1A">
        <w:rPr>
          <w:rFonts w:ascii="Times New Roman" w:hAnsi="Times New Roman" w:cs="Times New Roman"/>
          <w:sz w:val="28"/>
          <w:szCs w:val="28"/>
        </w:rPr>
        <w:t xml:space="preserve"> </w:t>
      </w:r>
      <w:r w:rsidR="00FF4D1A" w:rsidRPr="008978EB">
        <w:rPr>
          <w:rFonts w:ascii="Times New Roman" w:hAnsi="Times New Roman" w:cs="Times New Roman"/>
          <w:sz w:val="28"/>
          <w:szCs w:val="28"/>
        </w:rPr>
        <w:t xml:space="preserve">тыс. руб. В </w:t>
      </w:r>
      <w:r>
        <w:rPr>
          <w:rFonts w:ascii="Times New Roman" w:hAnsi="Times New Roman" w:cs="Times New Roman"/>
          <w:sz w:val="28"/>
          <w:szCs w:val="28"/>
        </w:rPr>
        <w:t xml:space="preserve">заключенном  с кредитным учреждением  контрактом </w:t>
      </w:r>
      <w:r w:rsidR="00FF4D1A" w:rsidRPr="008978EB">
        <w:rPr>
          <w:rFonts w:ascii="Times New Roman" w:hAnsi="Times New Roman" w:cs="Times New Roman"/>
          <w:sz w:val="28"/>
          <w:szCs w:val="28"/>
        </w:rPr>
        <w:t>предусмо</w:t>
      </w:r>
      <w:r w:rsidR="00FF4D1A">
        <w:rPr>
          <w:rFonts w:ascii="Times New Roman" w:hAnsi="Times New Roman" w:cs="Times New Roman"/>
          <w:sz w:val="28"/>
          <w:szCs w:val="28"/>
        </w:rPr>
        <w:t xml:space="preserve">трен срок погашения </w:t>
      </w:r>
      <w:r w:rsidR="00C6103A">
        <w:rPr>
          <w:rFonts w:ascii="Times New Roman" w:eastAsia="Times New Roman" w:hAnsi="Times New Roman" w:cs="Times New Roman"/>
          <w:sz w:val="28"/>
          <w:szCs w:val="20"/>
          <w:lang w:eastAsia="ru-RU"/>
        </w:rPr>
        <w:t>кредит</w:t>
      </w:r>
      <w:proofErr w:type="gramStart"/>
      <w:r w:rsidR="00C6103A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C6103A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C6103A">
        <w:rPr>
          <w:rFonts w:ascii="Times New Roman" w:hAnsi="Times New Roman" w:cs="Times New Roman"/>
          <w:sz w:val="28"/>
          <w:szCs w:val="28"/>
        </w:rPr>
        <w:t xml:space="preserve"> июль</w:t>
      </w:r>
      <w:r w:rsidR="00FF4D1A">
        <w:rPr>
          <w:rFonts w:ascii="Times New Roman" w:hAnsi="Times New Roman" w:cs="Times New Roman"/>
          <w:sz w:val="28"/>
          <w:szCs w:val="28"/>
        </w:rPr>
        <w:t xml:space="preserve"> 201</w:t>
      </w:r>
      <w:r w:rsidR="00C6103A">
        <w:rPr>
          <w:rFonts w:ascii="Times New Roman" w:hAnsi="Times New Roman" w:cs="Times New Roman"/>
          <w:sz w:val="28"/>
          <w:szCs w:val="28"/>
        </w:rPr>
        <w:t>7</w:t>
      </w:r>
      <w:r w:rsidR="00FF4D1A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FF4D1A" w:rsidRPr="008978EB">
        <w:rPr>
          <w:rFonts w:ascii="Times New Roman" w:hAnsi="Times New Roman" w:cs="Times New Roman"/>
          <w:sz w:val="28"/>
          <w:szCs w:val="28"/>
        </w:rPr>
        <w:t>что соответствует  выполнению  условий  п.6  статьи 100 БК РФ (погашение долговых обязательств не могут превышать 10 лет).</w:t>
      </w:r>
    </w:p>
    <w:p w:rsidR="002A32F0" w:rsidRDefault="002A32F0" w:rsidP="005D26FB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A32F0">
        <w:rPr>
          <w:rFonts w:ascii="Times New Roman" w:hAnsi="Times New Roman" w:cs="Times New Roman"/>
          <w:b/>
          <w:sz w:val="28"/>
        </w:rPr>
        <w:t>9. Внешняя проверка годовой бюджетной отчетности «</w:t>
      </w:r>
      <w:r w:rsidR="00AA5D0C">
        <w:rPr>
          <w:rFonts w:ascii="Times New Roman" w:hAnsi="Times New Roman" w:cs="Times New Roman"/>
          <w:b/>
          <w:sz w:val="28"/>
        </w:rPr>
        <w:t>О</w:t>
      </w:r>
      <w:r w:rsidRPr="002A32F0">
        <w:rPr>
          <w:rFonts w:ascii="Times New Roman" w:hAnsi="Times New Roman" w:cs="Times New Roman"/>
          <w:b/>
          <w:sz w:val="28"/>
        </w:rPr>
        <w:t xml:space="preserve">б исполнении </w:t>
      </w:r>
      <w:proofErr w:type="spellStart"/>
      <w:r w:rsidRPr="00B716D8">
        <w:rPr>
          <w:rFonts w:ascii="Times New Roman" w:hAnsi="Times New Roman" w:cs="Times New Roman"/>
          <w:b/>
          <w:sz w:val="28"/>
          <w:szCs w:val="28"/>
        </w:rPr>
        <w:t>Геймановского</w:t>
      </w:r>
      <w:proofErr w:type="spellEnd"/>
      <w:r w:rsidRPr="00B71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8A3">
        <w:rPr>
          <w:rFonts w:ascii="Times New Roman" w:hAnsi="Times New Roman" w:cs="Times New Roman"/>
          <w:b/>
          <w:sz w:val="28"/>
        </w:rPr>
        <w:t>сельского бюджета за 2014</w:t>
      </w:r>
      <w:r w:rsidRPr="002A32F0">
        <w:rPr>
          <w:rFonts w:ascii="Times New Roman" w:hAnsi="Times New Roman" w:cs="Times New Roman"/>
          <w:b/>
          <w:sz w:val="28"/>
        </w:rPr>
        <w:t xml:space="preserve"> год»</w:t>
      </w:r>
    </w:p>
    <w:p w:rsidR="00027419" w:rsidRDefault="00AA55AC" w:rsidP="0093498F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27419">
        <w:rPr>
          <w:rFonts w:ascii="Times New Roman" w:hAnsi="Times New Roman" w:cs="Times New Roman"/>
          <w:sz w:val="28"/>
          <w:szCs w:val="28"/>
        </w:rPr>
        <w:t>Контрольно-счетной палатой муниципального образования Тбилисский район был охвачен перечень вопросов предназначенных для проверки:</w:t>
      </w:r>
    </w:p>
    <w:p w:rsidR="00A35D2B" w:rsidRPr="004069F8" w:rsidRDefault="00027419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Годовая отчетность со всеми приложениями за 2014 год п</w:t>
      </w:r>
      <w:r w:rsidR="00A35D2B">
        <w:rPr>
          <w:rFonts w:ascii="Times New Roman" w:hAnsi="Times New Roman" w:cs="Times New Roman"/>
          <w:sz w:val="28"/>
          <w:szCs w:val="28"/>
        </w:rPr>
        <w:t>редставлена сельским поселением не</w:t>
      </w:r>
      <w:r w:rsidR="00F75468">
        <w:rPr>
          <w:rFonts w:ascii="Times New Roman" w:hAnsi="Times New Roman" w:cs="Times New Roman"/>
          <w:sz w:val="28"/>
          <w:szCs w:val="28"/>
        </w:rPr>
        <w:t xml:space="preserve"> </w:t>
      </w:r>
      <w:r w:rsidR="00A35D2B">
        <w:rPr>
          <w:rFonts w:ascii="Times New Roman" w:hAnsi="Times New Roman" w:cs="Times New Roman"/>
          <w:sz w:val="28"/>
          <w:szCs w:val="28"/>
        </w:rPr>
        <w:t>в полном объеме. Требования по заполнению форм годовой бюджетной отчетности соблюдены</w:t>
      </w:r>
      <w:r w:rsidR="00A35D2B" w:rsidRPr="00DE54F4">
        <w:rPr>
          <w:rFonts w:ascii="Times New Roman" w:hAnsi="Times New Roman" w:cs="Times New Roman"/>
          <w:sz w:val="28"/>
          <w:szCs w:val="28"/>
        </w:rPr>
        <w:t xml:space="preserve">, однако </w:t>
      </w:r>
      <w:r w:rsidR="00A35D2B">
        <w:rPr>
          <w:rFonts w:ascii="Times New Roman" w:hAnsi="Times New Roman" w:cs="Times New Roman"/>
          <w:sz w:val="28"/>
          <w:szCs w:val="28"/>
        </w:rPr>
        <w:t xml:space="preserve">в </w:t>
      </w:r>
      <w:r w:rsidR="00A35D2B" w:rsidRPr="004069F8">
        <w:rPr>
          <w:rFonts w:ascii="Times New Roman" w:hAnsi="Times New Roman" w:cs="Times New Roman"/>
          <w:sz w:val="28"/>
          <w:szCs w:val="28"/>
        </w:rPr>
        <w:t xml:space="preserve">нарушение  Инструкции 191Н </w:t>
      </w:r>
      <w:r w:rsidR="00A35D2B" w:rsidRPr="00406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ф. 0503160, представленная к проверке в составе бю</w:t>
      </w:r>
      <w:r w:rsidR="00A35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джетной отчетности</w:t>
      </w:r>
      <w:r w:rsidR="00A35D2B" w:rsidRPr="0040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замечаниями и не в полном объеме, </w:t>
      </w:r>
      <w:r w:rsidR="00A35D2B" w:rsidRPr="004069F8">
        <w:rPr>
          <w:rFonts w:ascii="Times New Roman" w:hAnsi="Times New Roman" w:cs="Times New Roman"/>
          <w:sz w:val="28"/>
          <w:szCs w:val="28"/>
        </w:rPr>
        <w:t>не представлены:</w:t>
      </w:r>
    </w:p>
    <w:p w:rsidR="00A35D2B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1 «Сведения об основных направлениях деятельности»;</w:t>
      </w:r>
    </w:p>
    <w:p w:rsidR="00A35D2B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2 «Сведения о мерах по повышению эффективности расходования бюджетных средств»;</w:t>
      </w:r>
    </w:p>
    <w:p w:rsidR="00A35D2B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3 «Сведения об исполнении текстовых статей закона (решения) о бюджете»;</w:t>
      </w:r>
    </w:p>
    <w:p w:rsidR="00A35D2B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4 «Сведения об особенностях ведения бюджетного учета»;</w:t>
      </w:r>
    </w:p>
    <w:p w:rsidR="00A35D2B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5 «Сведения о результатах мероприятий внутреннего контроля»;</w:t>
      </w:r>
    </w:p>
    <w:p w:rsidR="00A35D2B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6 «Сведения о проведении инвентаризации»;</w:t>
      </w:r>
    </w:p>
    <w:p w:rsidR="00027419" w:rsidRPr="00AA55AC" w:rsidRDefault="00A35D2B" w:rsidP="0093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таблица № 7 «Сведения о результатах внешних контрольных мероприятиях». </w:t>
      </w:r>
    </w:p>
    <w:p w:rsidR="00BA67A1" w:rsidRDefault="00AA55AC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27419">
        <w:rPr>
          <w:rFonts w:ascii="Times New Roman" w:hAnsi="Times New Roman" w:cs="Times New Roman"/>
          <w:sz w:val="28"/>
          <w:szCs w:val="28"/>
        </w:rPr>
        <w:t xml:space="preserve">Контрольные соотношения форм бюджетной отчетности и увязка между формами </w:t>
      </w:r>
      <w:r w:rsidR="00F75468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соблюдены.</w:t>
      </w:r>
      <w:r w:rsidRPr="00AA5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>ыявлены расхождения показателей аналитических счетов</w:t>
      </w:r>
      <w:r w:rsidRPr="004069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отражающих расчеты по доходам, расчеты по выданным авансам, финансовый результат и результат прошлых отчетных </w:t>
      </w:r>
      <w:r w:rsidRPr="004069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периодов по кассовому исполнению бюджета (счета 020500000, 020600000, 040130000, 040200000)</w:t>
      </w:r>
      <w:r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>по главной книге и формы</w:t>
      </w:r>
      <w:r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№ 0503120 «Баланс».</w:t>
      </w:r>
    </w:p>
    <w:p w:rsidR="0093498F" w:rsidRDefault="0093498F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D26FB" w:rsidRDefault="00807300" w:rsidP="005D26FB">
      <w:pPr>
        <w:tabs>
          <w:tab w:val="num" w:pos="1680"/>
          <w:tab w:val="num" w:pos="1800"/>
        </w:tabs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результате проведенной экспертизы отчета об исполнении бюджета, контрольно-счетная палата сделала в</w:t>
      </w:r>
      <w:r w:rsidR="00027419" w:rsidRPr="00352A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ыводы:</w:t>
      </w:r>
    </w:p>
    <w:p w:rsidR="00027419" w:rsidRPr="00BA67A1" w:rsidRDefault="00027419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</w:p>
    <w:p w:rsidR="00BA67A1" w:rsidRDefault="005D26FB" w:rsidP="005D26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D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 </w:t>
      </w:r>
      <w:proofErr w:type="spellStart"/>
      <w:r w:rsidR="002D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Геймановского</w:t>
      </w:r>
      <w:proofErr w:type="spellEnd"/>
      <w:r w:rsidR="002D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80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спланирован и испол</w:t>
      </w:r>
      <w:r w:rsidR="00902F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нен без учета программно-целевого</w:t>
      </w:r>
      <w:r w:rsidR="0080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метода</w:t>
      </w:r>
      <w:r w:rsidR="00902F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01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0376B" w:rsidRDefault="005D26FB" w:rsidP="003037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5D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нормам п.1 ст. 78.1 БК РФ из бюджета бюджетным и автономным учреждениям выделяются субсидии на выполнение задания учредителя и на иные цели, размер субсидии  учредителем рассчитывается </w:t>
      </w:r>
      <w:r w:rsidRPr="005D2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учетом нормативных затрат </w:t>
      </w:r>
      <w:r w:rsidRPr="005D26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государственных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(муниципальных) услуг физическим и (или) юридическим лицам, выполнение работ, а также нормативных затрат на содержание государственного (муниципального) имущества.</w:t>
      </w:r>
      <w:proofErr w:type="gramEnd"/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проверки установлено, что порядок определения нормативных затрат, на основании которых определяется размер субсидий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муниципального задания для 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</w:t>
      </w:r>
      <w:proofErr w:type="spellStart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</w:t>
      </w:r>
      <w:r w:rsidR="008073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утвержден. То есть размер субсидии определяется без учета нормативных затрат. При таком положении вещей утрачивается экономичес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кая самостоятельность учреждений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один из мотивирующих факторов, обеспечивающих качество и доступность услуг, провозглашенных федеральным Законом от 08.05.2010 № 83-ФЗ </w:t>
      </w:r>
      <w:r w:rsidRPr="00876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0376B" w:rsidRPr="0030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76B" w:rsidRPr="00FE16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деятельность бюджетных и автономных учреждений считается неэффективной.</w:t>
      </w:r>
    </w:p>
    <w:p w:rsidR="006A241E" w:rsidRPr="00FE165B" w:rsidRDefault="006A241E" w:rsidP="00EF2D5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0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2014 года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 уплачен штраф за нарушение безопасности дорожного движения</w:t>
      </w:r>
      <w:r w:rsidR="0080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300,0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штраф в сумме 10,0 тыс. руб. и исполнительский сбор в сумме 50,0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AE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F2D51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средств бюджета в сумме 360,0 тыс. руб., которые могли быть направлены на качественное выполнение  и в полном объеме</w:t>
      </w:r>
      <w:r w:rsidR="002921AE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D51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в </w:t>
      </w:r>
      <w:r w:rsidR="00E039CA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ст. </w:t>
      </w:r>
      <w:r w:rsidR="00EF2D51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039CA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D51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902FC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F2D51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от 6 октября 2003 г. N 131-ФЗ "Об общих принципах организации местного самоуправления в Российской Федерации»</w:t>
      </w:r>
      <w:r w:rsidR="00902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21AE" w:rsidRPr="002921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отнести к  неэффективному использованию.</w:t>
      </w:r>
    </w:p>
    <w:p w:rsidR="00027419" w:rsidRDefault="00027419" w:rsidP="009C0CC0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2E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Показатели Отчета об испо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лнении бюджета поселения за 2014</w:t>
      </w:r>
      <w:r w:rsidRPr="00A12E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в части исполнения доходов и расходов </w:t>
      </w:r>
      <w:r w:rsidRPr="00065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достоверны.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0184B" w:rsidRDefault="0070184B" w:rsidP="0093498F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9090C" w:rsidRDefault="0079090C" w:rsidP="0093498F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05E58" w:rsidRPr="0093498F" w:rsidRDefault="00F546BF" w:rsidP="008E3F58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40425" cy="840168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05E58" w:rsidRPr="0093498F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FD9" w:rsidRDefault="00A35FD9" w:rsidP="00A73ED5">
      <w:pPr>
        <w:spacing w:after="0" w:line="240" w:lineRule="auto"/>
      </w:pPr>
      <w:r>
        <w:separator/>
      </w:r>
    </w:p>
  </w:endnote>
  <w:endnote w:type="continuationSeparator" w:id="0">
    <w:p w:rsidR="00A35FD9" w:rsidRDefault="00A35FD9" w:rsidP="00A7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604588"/>
      <w:docPartObj>
        <w:docPartGallery w:val="Page Numbers (Bottom of Page)"/>
        <w:docPartUnique/>
      </w:docPartObj>
    </w:sdtPr>
    <w:sdtEndPr/>
    <w:sdtContent>
      <w:p w:rsidR="00F5649C" w:rsidRDefault="00F564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6BF">
          <w:rPr>
            <w:noProof/>
          </w:rPr>
          <w:t>37</w:t>
        </w:r>
        <w:r>
          <w:fldChar w:fldCharType="end"/>
        </w:r>
      </w:p>
    </w:sdtContent>
  </w:sdt>
  <w:p w:rsidR="0079090C" w:rsidRDefault="00790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FD9" w:rsidRDefault="00A35FD9" w:rsidP="00A73ED5">
      <w:pPr>
        <w:spacing w:after="0" w:line="240" w:lineRule="auto"/>
      </w:pPr>
      <w:r>
        <w:separator/>
      </w:r>
    </w:p>
  </w:footnote>
  <w:footnote w:type="continuationSeparator" w:id="0">
    <w:p w:rsidR="00A35FD9" w:rsidRDefault="00A35FD9" w:rsidP="00A73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3E3"/>
    <w:multiLevelType w:val="hybridMultilevel"/>
    <w:tmpl w:val="BA62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11FE6"/>
    <w:multiLevelType w:val="hybridMultilevel"/>
    <w:tmpl w:val="2A44F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A6D6D"/>
    <w:multiLevelType w:val="hybridMultilevel"/>
    <w:tmpl w:val="2B0CD266"/>
    <w:lvl w:ilvl="0" w:tplc="EE860E3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F7D50C2"/>
    <w:multiLevelType w:val="hybridMultilevel"/>
    <w:tmpl w:val="3B28B9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2A207E4"/>
    <w:multiLevelType w:val="hybridMultilevel"/>
    <w:tmpl w:val="B90A229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C87647"/>
    <w:multiLevelType w:val="hybridMultilevel"/>
    <w:tmpl w:val="877876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">
    <w:nsid w:val="1B2F0CFE"/>
    <w:multiLevelType w:val="hybridMultilevel"/>
    <w:tmpl w:val="3D4C04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B985B5E"/>
    <w:multiLevelType w:val="hybridMultilevel"/>
    <w:tmpl w:val="D27C92BE"/>
    <w:lvl w:ilvl="0" w:tplc="D6C0174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9">
    <w:nsid w:val="477F17D4"/>
    <w:multiLevelType w:val="hybridMultilevel"/>
    <w:tmpl w:val="65E80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9AD0A93"/>
    <w:multiLevelType w:val="hybridMultilevel"/>
    <w:tmpl w:val="E688A0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>
    <w:nsid w:val="615A0614"/>
    <w:multiLevelType w:val="hybridMultilevel"/>
    <w:tmpl w:val="06E4D7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06379"/>
    <w:multiLevelType w:val="hybridMultilevel"/>
    <w:tmpl w:val="D1740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4C46A8"/>
    <w:multiLevelType w:val="hybridMultilevel"/>
    <w:tmpl w:val="E01E7D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826D3"/>
    <w:multiLevelType w:val="hybridMultilevel"/>
    <w:tmpl w:val="2AE2A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>
    <w:nsid w:val="73F01128"/>
    <w:multiLevelType w:val="hybridMultilevel"/>
    <w:tmpl w:val="C836453C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4"/>
  </w:num>
  <w:num w:numId="4">
    <w:abstractNumId w:val="14"/>
  </w:num>
  <w:num w:numId="5">
    <w:abstractNumId w:val="0"/>
  </w:num>
  <w:num w:numId="6">
    <w:abstractNumId w:val="0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6"/>
  </w:num>
  <w:num w:numId="12">
    <w:abstractNumId w:val="16"/>
  </w:num>
  <w:num w:numId="13">
    <w:abstractNumId w:val="1"/>
  </w:num>
  <w:num w:numId="14">
    <w:abstractNumId w:val="1"/>
  </w:num>
  <w:num w:numId="15">
    <w:abstractNumId w:val="17"/>
  </w:num>
  <w:num w:numId="16">
    <w:abstractNumId w:val="17"/>
  </w:num>
  <w:num w:numId="17">
    <w:abstractNumId w:val="12"/>
  </w:num>
  <w:num w:numId="18">
    <w:abstractNumId w:val="12"/>
  </w:num>
  <w:num w:numId="19">
    <w:abstractNumId w:val="7"/>
  </w:num>
  <w:num w:numId="20">
    <w:abstractNumId w:val="7"/>
  </w:num>
  <w:num w:numId="21">
    <w:abstractNumId w:val="10"/>
  </w:num>
  <w:num w:numId="22">
    <w:abstractNumId w:val="10"/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</w:num>
  <w:num w:numId="27">
    <w:abstractNumId w:val="18"/>
  </w:num>
  <w:num w:numId="28">
    <w:abstractNumId w:val="18"/>
  </w:num>
  <w:num w:numId="29">
    <w:abstractNumId w:val="6"/>
  </w:num>
  <w:num w:numId="30">
    <w:abstractNumId w:val="11"/>
  </w:num>
  <w:num w:numId="31">
    <w:abstractNumId w:val="13"/>
  </w:num>
  <w:num w:numId="32">
    <w:abstractNumId w:val="15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BF"/>
    <w:rsid w:val="00002393"/>
    <w:rsid w:val="000028F9"/>
    <w:rsid w:val="00004599"/>
    <w:rsid w:val="00005E58"/>
    <w:rsid w:val="000070F6"/>
    <w:rsid w:val="00010745"/>
    <w:rsid w:val="00026DAF"/>
    <w:rsid w:val="00027419"/>
    <w:rsid w:val="000419C1"/>
    <w:rsid w:val="000523A2"/>
    <w:rsid w:val="00054007"/>
    <w:rsid w:val="00057048"/>
    <w:rsid w:val="000602D8"/>
    <w:rsid w:val="000758CD"/>
    <w:rsid w:val="00080B1F"/>
    <w:rsid w:val="0008174C"/>
    <w:rsid w:val="00081924"/>
    <w:rsid w:val="000939CF"/>
    <w:rsid w:val="000A174F"/>
    <w:rsid w:val="000B670F"/>
    <w:rsid w:val="000B76CC"/>
    <w:rsid w:val="000C12B4"/>
    <w:rsid w:val="000C4A6D"/>
    <w:rsid w:val="000D69D1"/>
    <w:rsid w:val="000E187A"/>
    <w:rsid w:val="000E7206"/>
    <w:rsid w:val="000F1ABF"/>
    <w:rsid w:val="000F4A37"/>
    <w:rsid w:val="001006E3"/>
    <w:rsid w:val="00104E03"/>
    <w:rsid w:val="001075FF"/>
    <w:rsid w:val="001140A1"/>
    <w:rsid w:val="00123B8F"/>
    <w:rsid w:val="00124D45"/>
    <w:rsid w:val="001269AA"/>
    <w:rsid w:val="001373C9"/>
    <w:rsid w:val="00140E6B"/>
    <w:rsid w:val="00143828"/>
    <w:rsid w:val="00161E07"/>
    <w:rsid w:val="0016375E"/>
    <w:rsid w:val="00165D66"/>
    <w:rsid w:val="00167EB0"/>
    <w:rsid w:val="00170723"/>
    <w:rsid w:val="00171263"/>
    <w:rsid w:val="0017532C"/>
    <w:rsid w:val="00175BAE"/>
    <w:rsid w:val="001802E3"/>
    <w:rsid w:val="00180F25"/>
    <w:rsid w:val="00187882"/>
    <w:rsid w:val="001909CC"/>
    <w:rsid w:val="00192D96"/>
    <w:rsid w:val="0019585D"/>
    <w:rsid w:val="001A1369"/>
    <w:rsid w:val="001B0116"/>
    <w:rsid w:val="001B3257"/>
    <w:rsid w:val="001B4129"/>
    <w:rsid w:val="001C0009"/>
    <w:rsid w:val="001C03B9"/>
    <w:rsid w:val="001D5F84"/>
    <w:rsid w:val="001E14EF"/>
    <w:rsid w:val="001E4ED5"/>
    <w:rsid w:val="001E79C7"/>
    <w:rsid w:val="001F5E03"/>
    <w:rsid w:val="00202EE9"/>
    <w:rsid w:val="00203E1E"/>
    <w:rsid w:val="00207297"/>
    <w:rsid w:val="00214267"/>
    <w:rsid w:val="00215144"/>
    <w:rsid w:val="00222F58"/>
    <w:rsid w:val="00224A2B"/>
    <w:rsid w:val="00225EBB"/>
    <w:rsid w:val="00231CBC"/>
    <w:rsid w:val="002328EA"/>
    <w:rsid w:val="002374C7"/>
    <w:rsid w:val="00244C92"/>
    <w:rsid w:val="00252B24"/>
    <w:rsid w:val="00253859"/>
    <w:rsid w:val="00255585"/>
    <w:rsid w:val="00256F50"/>
    <w:rsid w:val="00265FB1"/>
    <w:rsid w:val="00270AF4"/>
    <w:rsid w:val="00282B10"/>
    <w:rsid w:val="0028541D"/>
    <w:rsid w:val="002857EF"/>
    <w:rsid w:val="00286D58"/>
    <w:rsid w:val="002921AE"/>
    <w:rsid w:val="00294477"/>
    <w:rsid w:val="002A1387"/>
    <w:rsid w:val="002A1DF8"/>
    <w:rsid w:val="002A32F0"/>
    <w:rsid w:val="002C3A2E"/>
    <w:rsid w:val="002D3089"/>
    <w:rsid w:val="002D5FC2"/>
    <w:rsid w:val="002E0BDB"/>
    <w:rsid w:val="002E5997"/>
    <w:rsid w:val="0030133D"/>
    <w:rsid w:val="0030376B"/>
    <w:rsid w:val="003043F9"/>
    <w:rsid w:val="003059A3"/>
    <w:rsid w:val="00311192"/>
    <w:rsid w:val="003123C0"/>
    <w:rsid w:val="00312857"/>
    <w:rsid w:val="00312EAF"/>
    <w:rsid w:val="00313BDA"/>
    <w:rsid w:val="00322D3A"/>
    <w:rsid w:val="00330BCC"/>
    <w:rsid w:val="0033160A"/>
    <w:rsid w:val="00335D4B"/>
    <w:rsid w:val="00337CF7"/>
    <w:rsid w:val="0034371A"/>
    <w:rsid w:val="00352DA6"/>
    <w:rsid w:val="0036091A"/>
    <w:rsid w:val="00373C8C"/>
    <w:rsid w:val="00376026"/>
    <w:rsid w:val="00376B08"/>
    <w:rsid w:val="00380AFB"/>
    <w:rsid w:val="00386400"/>
    <w:rsid w:val="003902DE"/>
    <w:rsid w:val="00397CD0"/>
    <w:rsid w:val="003A0312"/>
    <w:rsid w:val="003A0689"/>
    <w:rsid w:val="003B0246"/>
    <w:rsid w:val="003B3E84"/>
    <w:rsid w:val="003B3F9D"/>
    <w:rsid w:val="003B49EE"/>
    <w:rsid w:val="003D51B6"/>
    <w:rsid w:val="003E3CA7"/>
    <w:rsid w:val="003F4728"/>
    <w:rsid w:val="003F6942"/>
    <w:rsid w:val="00414DE6"/>
    <w:rsid w:val="00422F16"/>
    <w:rsid w:val="004245D0"/>
    <w:rsid w:val="00424648"/>
    <w:rsid w:val="00435542"/>
    <w:rsid w:val="00440534"/>
    <w:rsid w:val="00444693"/>
    <w:rsid w:val="004467AC"/>
    <w:rsid w:val="00457404"/>
    <w:rsid w:val="00460A86"/>
    <w:rsid w:val="00461772"/>
    <w:rsid w:val="00461FF2"/>
    <w:rsid w:val="004A15A9"/>
    <w:rsid w:val="004E7CC0"/>
    <w:rsid w:val="004F173B"/>
    <w:rsid w:val="004F2A15"/>
    <w:rsid w:val="004F716E"/>
    <w:rsid w:val="004F74C7"/>
    <w:rsid w:val="00500EEA"/>
    <w:rsid w:val="005047DF"/>
    <w:rsid w:val="00506DBF"/>
    <w:rsid w:val="00512B10"/>
    <w:rsid w:val="0051372F"/>
    <w:rsid w:val="00516398"/>
    <w:rsid w:val="00522353"/>
    <w:rsid w:val="0052246A"/>
    <w:rsid w:val="005246BA"/>
    <w:rsid w:val="00526F21"/>
    <w:rsid w:val="00532B2C"/>
    <w:rsid w:val="00533B1E"/>
    <w:rsid w:val="00536A3D"/>
    <w:rsid w:val="0053777B"/>
    <w:rsid w:val="0054517C"/>
    <w:rsid w:val="0055025C"/>
    <w:rsid w:val="0055404B"/>
    <w:rsid w:val="00557CA0"/>
    <w:rsid w:val="00561961"/>
    <w:rsid w:val="005619AC"/>
    <w:rsid w:val="00567387"/>
    <w:rsid w:val="00571911"/>
    <w:rsid w:val="00577861"/>
    <w:rsid w:val="00581BDF"/>
    <w:rsid w:val="00582294"/>
    <w:rsid w:val="00591180"/>
    <w:rsid w:val="00592D54"/>
    <w:rsid w:val="005A3EDD"/>
    <w:rsid w:val="005A724D"/>
    <w:rsid w:val="005B4022"/>
    <w:rsid w:val="005C0FD6"/>
    <w:rsid w:val="005C221D"/>
    <w:rsid w:val="005D26FB"/>
    <w:rsid w:val="005D3886"/>
    <w:rsid w:val="005E794D"/>
    <w:rsid w:val="005F2C3F"/>
    <w:rsid w:val="005F37D5"/>
    <w:rsid w:val="006165DA"/>
    <w:rsid w:val="00624296"/>
    <w:rsid w:val="00646EC0"/>
    <w:rsid w:val="00657D24"/>
    <w:rsid w:val="00661484"/>
    <w:rsid w:val="00662FE8"/>
    <w:rsid w:val="00670755"/>
    <w:rsid w:val="00672CAB"/>
    <w:rsid w:val="006923A5"/>
    <w:rsid w:val="0069777B"/>
    <w:rsid w:val="006A241E"/>
    <w:rsid w:val="006A4C8F"/>
    <w:rsid w:val="006C32C3"/>
    <w:rsid w:val="006D13F1"/>
    <w:rsid w:val="006D228E"/>
    <w:rsid w:val="006D6A62"/>
    <w:rsid w:val="006D7D7A"/>
    <w:rsid w:val="006E2CB2"/>
    <w:rsid w:val="006F32FA"/>
    <w:rsid w:val="006F522F"/>
    <w:rsid w:val="0070184B"/>
    <w:rsid w:val="00703BFF"/>
    <w:rsid w:val="00703F0F"/>
    <w:rsid w:val="00716935"/>
    <w:rsid w:val="007219A5"/>
    <w:rsid w:val="00724CB5"/>
    <w:rsid w:val="00727352"/>
    <w:rsid w:val="007327D9"/>
    <w:rsid w:val="007352DA"/>
    <w:rsid w:val="0073662F"/>
    <w:rsid w:val="00737E96"/>
    <w:rsid w:val="00741593"/>
    <w:rsid w:val="00742C09"/>
    <w:rsid w:val="0074665D"/>
    <w:rsid w:val="00751012"/>
    <w:rsid w:val="00754421"/>
    <w:rsid w:val="00754E24"/>
    <w:rsid w:val="00761D22"/>
    <w:rsid w:val="00762C02"/>
    <w:rsid w:val="007663B7"/>
    <w:rsid w:val="00766558"/>
    <w:rsid w:val="00767438"/>
    <w:rsid w:val="00771780"/>
    <w:rsid w:val="00785598"/>
    <w:rsid w:val="0078559E"/>
    <w:rsid w:val="007856D1"/>
    <w:rsid w:val="00785F14"/>
    <w:rsid w:val="007870EC"/>
    <w:rsid w:val="0079090C"/>
    <w:rsid w:val="00790B1E"/>
    <w:rsid w:val="00791D5C"/>
    <w:rsid w:val="007920EB"/>
    <w:rsid w:val="007A2216"/>
    <w:rsid w:val="007A263B"/>
    <w:rsid w:val="007C0AD8"/>
    <w:rsid w:val="007D0216"/>
    <w:rsid w:val="007D1E2E"/>
    <w:rsid w:val="007D3C7B"/>
    <w:rsid w:val="007E2C0B"/>
    <w:rsid w:val="007E55EB"/>
    <w:rsid w:val="007E57D9"/>
    <w:rsid w:val="007E7FCC"/>
    <w:rsid w:val="007F09AD"/>
    <w:rsid w:val="007F2D76"/>
    <w:rsid w:val="00807300"/>
    <w:rsid w:val="00807AC6"/>
    <w:rsid w:val="00810DD6"/>
    <w:rsid w:val="00815055"/>
    <w:rsid w:val="00815B01"/>
    <w:rsid w:val="00825458"/>
    <w:rsid w:val="0083033D"/>
    <w:rsid w:val="00835D58"/>
    <w:rsid w:val="00837133"/>
    <w:rsid w:val="0084077A"/>
    <w:rsid w:val="0084303A"/>
    <w:rsid w:val="00847C57"/>
    <w:rsid w:val="00850B78"/>
    <w:rsid w:val="008536AA"/>
    <w:rsid w:val="0087091B"/>
    <w:rsid w:val="00872B80"/>
    <w:rsid w:val="00881A94"/>
    <w:rsid w:val="008858D4"/>
    <w:rsid w:val="008917BF"/>
    <w:rsid w:val="00896786"/>
    <w:rsid w:val="008A345A"/>
    <w:rsid w:val="008A37F5"/>
    <w:rsid w:val="008B6EE1"/>
    <w:rsid w:val="008B71D3"/>
    <w:rsid w:val="008C0BCC"/>
    <w:rsid w:val="008C207C"/>
    <w:rsid w:val="008C430E"/>
    <w:rsid w:val="008C532F"/>
    <w:rsid w:val="008C5F8F"/>
    <w:rsid w:val="008D3F20"/>
    <w:rsid w:val="008D74E2"/>
    <w:rsid w:val="008E0931"/>
    <w:rsid w:val="008E3F58"/>
    <w:rsid w:val="008E5782"/>
    <w:rsid w:val="008F1E9F"/>
    <w:rsid w:val="00900002"/>
    <w:rsid w:val="00901001"/>
    <w:rsid w:val="00902FC7"/>
    <w:rsid w:val="00904A8F"/>
    <w:rsid w:val="0090571F"/>
    <w:rsid w:val="00905B92"/>
    <w:rsid w:val="00906D94"/>
    <w:rsid w:val="0091260D"/>
    <w:rsid w:val="009170E3"/>
    <w:rsid w:val="009313AF"/>
    <w:rsid w:val="009341B5"/>
    <w:rsid w:val="0093498F"/>
    <w:rsid w:val="00935853"/>
    <w:rsid w:val="009615AC"/>
    <w:rsid w:val="00974007"/>
    <w:rsid w:val="009759C5"/>
    <w:rsid w:val="00977BE6"/>
    <w:rsid w:val="00980F6F"/>
    <w:rsid w:val="00983895"/>
    <w:rsid w:val="009855B1"/>
    <w:rsid w:val="009858A3"/>
    <w:rsid w:val="009A13FE"/>
    <w:rsid w:val="009A67CC"/>
    <w:rsid w:val="009B3552"/>
    <w:rsid w:val="009C0CC0"/>
    <w:rsid w:val="009C7359"/>
    <w:rsid w:val="009D0E7A"/>
    <w:rsid w:val="009E3987"/>
    <w:rsid w:val="009E4D20"/>
    <w:rsid w:val="009F1E91"/>
    <w:rsid w:val="009F3F91"/>
    <w:rsid w:val="009F51ED"/>
    <w:rsid w:val="00A00C50"/>
    <w:rsid w:val="00A0101B"/>
    <w:rsid w:val="00A01DD9"/>
    <w:rsid w:val="00A0523A"/>
    <w:rsid w:val="00A071C8"/>
    <w:rsid w:val="00A22EBF"/>
    <w:rsid w:val="00A27F37"/>
    <w:rsid w:val="00A32754"/>
    <w:rsid w:val="00A35D2B"/>
    <w:rsid w:val="00A35FD9"/>
    <w:rsid w:val="00A55011"/>
    <w:rsid w:val="00A60D8F"/>
    <w:rsid w:val="00A6769F"/>
    <w:rsid w:val="00A73ED5"/>
    <w:rsid w:val="00A82670"/>
    <w:rsid w:val="00A8499E"/>
    <w:rsid w:val="00A969F8"/>
    <w:rsid w:val="00AA22E7"/>
    <w:rsid w:val="00AA55AC"/>
    <w:rsid w:val="00AA5D0C"/>
    <w:rsid w:val="00AB3331"/>
    <w:rsid w:val="00AC002E"/>
    <w:rsid w:val="00AD1292"/>
    <w:rsid w:val="00AE0721"/>
    <w:rsid w:val="00AE1C68"/>
    <w:rsid w:val="00AE6125"/>
    <w:rsid w:val="00AE69F2"/>
    <w:rsid w:val="00AE7085"/>
    <w:rsid w:val="00AE735D"/>
    <w:rsid w:val="00AF298F"/>
    <w:rsid w:val="00AF52FB"/>
    <w:rsid w:val="00B063A9"/>
    <w:rsid w:val="00B06429"/>
    <w:rsid w:val="00B1384E"/>
    <w:rsid w:val="00B15957"/>
    <w:rsid w:val="00B204BD"/>
    <w:rsid w:val="00B20550"/>
    <w:rsid w:val="00B22D3A"/>
    <w:rsid w:val="00B44354"/>
    <w:rsid w:val="00B47F51"/>
    <w:rsid w:val="00B62EE0"/>
    <w:rsid w:val="00B63F76"/>
    <w:rsid w:val="00B716D8"/>
    <w:rsid w:val="00B841E9"/>
    <w:rsid w:val="00B86443"/>
    <w:rsid w:val="00B94522"/>
    <w:rsid w:val="00BA67A1"/>
    <w:rsid w:val="00BB0629"/>
    <w:rsid w:val="00BB2DB0"/>
    <w:rsid w:val="00BC004A"/>
    <w:rsid w:val="00BC2B95"/>
    <w:rsid w:val="00BC607A"/>
    <w:rsid w:val="00BD3C10"/>
    <w:rsid w:val="00BD7A45"/>
    <w:rsid w:val="00BE7D7A"/>
    <w:rsid w:val="00C13A9B"/>
    <w:rsid w:val="00C210A3"/>
    <w:rsid w:val="00C23D2C"/>
    <w:rsid w:val="00C37CCD"/>
    <w:rsid w:val="00C400A9"/>
    <w:rsid w:val="00C43C55"/>
    <w:rsid w:val="00C4413B"/>
    <w:rsid w:val="00C44F52"/>
    <w:rsid w:val="00C6103A"/>
    <w:rsid w:val="00C67C8E"/>
    <w:rsid w:val="00C730BB"/>
    <w:rsid w:val="00C7313F"/>
    <w:rsid w:val="00C81D54"/>
    <w:rsid w:val="00C82F3C"/>
    <w:rsid w:val="00C83646"/>
    <w:rsid w:val="00C83E68"/>
    <w:rsid w:val="00C844D5"/>
    <w:rsid w:val="00C86E7F"/>
    <w:rsid w:val="00C878F0"/>
    <w:rsid w:val="00C913BD"/>
    <w:rsid w:val="00C968B9"/>
    <w:rsid w:val="00CA28EF"/>
    <w:rsid w:val="00CA776E"/>
    <w:rsid w:val="00CB2488"/>
    <w:rsid w:val="00CB4634"/>
    <w:rsid w:val="00CB6308"/>
    <w:rsid w:val="00CC688A"/>
    <w:rsid w:val="00CC7FA1"/>
    <w:rsid w:val="00CD1F2F"/>
    <w:rsid w:val="00CD789F"/>
    <w:rsid w:val="00CE0FE9"/>
    <w:rsid w:val="00CE5025"/>
    <w:rsid w:val="00CE51EC"/>
    <w:rsid w:val="00CF5C1C"/>
    <w:rsid w:val="00D010C7"/>
    <w:rsid w:val="00D02B71"/>
    <w:rsid w:val="00D21308"/>
    <w:rsid w:val="00D23A19"/>
    <w:rsid w:val="00D243C5"/>
    <w:rsid w:val="00D35C51"/>
    <w:rsid w:val="00D37B91"/>
    <w:rsid w:val="00D43C75"/>
    <w:rsid w:val="00D440E9"/>
    <w:rsid w:val="00D47177"/>
    <w:rsid w:val="00D47428"/>
    <w:rsid w:val="00D53BCE"/>
    <w:rsid w:val="00D60E40"/>
    <w:rsid w:val="00D63AAB"/>
    <w:rsid w:val="00D65A0C"/>
    <w:rsid w:val="00D67860"/>
    <w:rsid w:val="00D77D21"/>
    <w:rsid w:val="00D81553"/>
    <w:rsid w:val="00D838BD"/>
    <w:rsid w:val="00D87278"/>
    <w:rsid w:val="00D876AF"/>
    <w:rsid w:val="00D9011B"/>
    <w:rsid w:val="00D905A2"/>
    <w:rsid w:val="00D91DD3"/>
    <w:rsid w:val="00DA0B2E"/>
    <w:rsid w:val="00DA0B4C"/>
    <w:rsid w:val="00DA597F"/>
    <w:rsid w:val="00DB5EA6"/>
    <w:rsid w:val="00DC024E"/>
    <w:rsid w:val="00DC3280"/>
    <w:rsid w:val="00DC5ED0"/>
    <w:rsid w:val="00DE54F4"/>
    <w:rsid w:val="00DE579F"/>
    <w:rsid w:val="00DE7F61"/>
    <w:rsid w:val="00DF1A1C"/>
    <w:rsid w:val="00DF4B21"/>
    <w:rsid w:val="00DF7497"/>
    <w:rsid w:val="00DF7551"/>
    <w:rsid w:val="00E039CA"/>
    <w:rsid w:val="00E41A74"/>
    <w:rsid w:val="00E432CB"/>
    <w:rsid w:val="00E446A5"/>
    <w:rsid w:val="00E458A4"/>
    <w:rsid w:val="00E6461C"/>
    <w:rsid w:val="00E71230"/>
    <w:rsid w:val="00E74E1E"/>
    <w:rsid w:val="00E76B30"/>
    <w:rsid w:val="00E8164F"/>
    <w:rsid w:val="00E82C8B"/>
    <w:rsid w:val="00E841CF"/>
    <w:rsid w:val="00E8591F"/>
    <w:rsid w:val="00E93DAB"/>
    <w:rsid w:val="00E941E8"/>
    <w:rsid w:val="00EA749A"/>
    <w:rsid w:val="00EB331F"/>
    <w:rsid w:val="00EB5E2C"/>
    <w:rsid w:val="00ED6F77"/>
    <w:rsid w:val="00EE1038"/>
    <w:rsid w:val="00EE1A43"/>
    <w:rsid w:val="00EE7802"/>
    <w:rsid w:val="00EF1328"/>
    <w:rsid w:val="00EF2D51"/>
    <w:rsid w:val="00EF3D9B"/>
    <w:rsid w:val="00EF5B60"/>
    <w:rsid w:val="00F12F24"/>
    <w:rsid w:val="00F147B9"/>
    <w:rsid w:val="00F26036"/>
    <w:rsid w:val="00F30948"/>
    <w:rsid w:val="00F3462B"/>
    <w:rsid w:val="00F53442"/>
    <w:rsid w:val="00F546BF"/>
    <w:rsid w:val="00F55AB9"/>
    <w:rsid w:val="00F5649C"/>
    <w:rsid w:val="00F717FE"/>
    <w:rsid w:val="00F732CE"/>
    <w:rsid w:val="00F75468"/>
    <w:rsid w:val="00F76029"/>
    <w:rsid w:val="00F835D6"/>
    <w:rsid w:val="00F83C71"/>
    <w:rsid w:val="00F84D1B"/>
    <w:rsid w:val="00F868CA"/>
    <w:rsid w:val="00F973F8"/>
    <w:rsid w:val="00FB1DAF"/>
    <w:rsid w:val="00FB6545"/>
    <w:rsid w:val="00FD11BF"/>
    <w:rsid w:val="00FD1A58"/>
    <w:rsid w:val="00FD4290"/>
    <w:rsid w:val="00FE4855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paragraph" w:styleId="2">
    <w:name w:val="heading 2"/>
    <w:basedOn w:val="a"/>
    <w:next w:val="a"/>
    <w:link w:val="20"/>
    <w:semiHidden/>
    <w:unhideWhenUsed/>
    <w:qFormat/>
    <w:rsid w:val="00A00C5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00C50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C50"/>
  </w:style>
  <w:style w:type="paragraph" w:styleId="a5">
    <w:name w:val="footer"/>
    <w:basedOn w:val="a"/>
    <w:link w:val="a6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C50"/>
  </w:style>
  <w:style w:type="paragraph" w:styleId="a7">
    <w:name w:val="Body Text"/>
    <w:basedOn w:val="a"/>
    <w:link w:val="a8"/>
    <w:semiHidden/>
    <w:unhideWhenUsed/>
    <w:rsid w:val="00A00C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00C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9"/>
    <w:link w:val="22"/>
    <w:semiHidden/>
    <w:unhideWhenUsed/>
    <w:rsid w:val="00A00C50"/>
    <w:pPr>
      <w:ind w:firstLine="210"/>
    </w:pPr>
  </w:style>
  <w:style w:type="character" w:customStyle="1" w:styleId="22">
    <w:name w:val="Красная строка 2 Знак"/>
    <w:basedOn w:val="aa"/>
    <w:link w:val="21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C5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00C50"/>
    <w:pPr>
      <w:ind w:left="720"/>
      <w:contextualSpacing/>
    </w:pPr>
  </w:style>
  <w:style w:type="paragraph" w:customStyle="1" w:styleId="1">
    <w:name w:val="Абзац списка1"/>
    <w:basedOn w:val="a"/>
    <w:rsid w:val="00A00C5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A00C50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A00C50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table" w:styleId="ae">
    <w:name w:val="Table Grid"/>
    <w:basedOn w:val="a1"/>
    <w:rsid w:val="00A00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6F3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0">
    <w:name w:val="обычный_1 Знак Знак Знак Знак Знак Знак Знак Знак Знак"/>
    <w:basedOn w:val="a"/>
    <w:rsid w:val="00CA28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paragraph" w:styleId="2">
    <w:name w:val="heading 2"/>
    <w:basedOn w:val="a"/>
    <w:next w:val="a"/>
    <w:link w:val="20"/>
    <w:semiHidden/>
    <w:unhideWhenUsed/>
    <w:qFormat/>
    <w:rsid w:val="00A00C5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00C50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C50"/>
  </w:style>
  <w:style w:type="paragraph" w:styleId="a5">
    <w:name w:val="footer"/>
    <w:basedOn w:val="a"/>
    <w:link w:val="a6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C50"/>
  </w:style>
  <w:style w:type="paragraph" w:styleId="a7">
    <w:name w:val="Body Text"/>
    <w:basedOn w:val="a"/>
    <w:link w:val="a8"/>
    <w:semiHidden/>
    <w:unhideWhenUsed/>
    <w:rsid w:val="00A00C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00C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9"/>
    <w:link w:val="22"/>
    <w:semiHidden/>
    <w:unhideWhenUsed/>
    <w:rsid w:val="00A00C50"/>
    <w:pPr>
      <w:ind w:firstLine="210"/>
    </w:pPr>
  </w:style>
  <w:style w:type="character" w:customStyle="1" w:styleId="22">
    <w:name w:val="Красная строка 2 Знак"/>
    <w:basedOn w:val="aa"/>
    <w:link w:val="21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C5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00C50"/>
    <w:pPr>
      <w:ind w:left="720"/>
      <w:contextualSpacing/>
    </w:pPr>
  </w:style>
  <w:style w:type="paragraph" w:customStyle="1" w:styleId="1">
    <w:name w:val="Абзац списка1"/>
    <w:basedOn w:val="a"/>
    <w:rsid w:val="00A00C5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A00C50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A00C50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table" w:styleId="ae">
    <w:name w:val="Table Grid"/>
    <w:basedOn w:val="a1"/>
    <w:rsid w:val="00A00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6F3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0">
    <w:name w:val="обычный_1 Знак Знак Знак Знак Знак Знак Знак Знак Знак"/>
    <w:basedOn w:val="a"/>
    <w:rsid w:val="00CA28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2.xm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6882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02E-2"/>
          <c:y val="0.23885350318471338"/>
          <c:w val="0.54248366013071891"/>
          <c:h val="0.65923566878980888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dLbl>
              <c:idx val="0"/>
              <c:layout>
                <c:manualLayout>
                  <c:x val="7.0071107271538324E-3"/>
                  <c:y val="-5.2081769148990834E-2"/>
                </c:manualLayout>
              </c:layout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46,4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460084260782684E-2"/>
                  <c:y val="7.9739796915571967E-2"/>
                </c:manualLayout>
              </c:layout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24,0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2802827108607435E-3"/>
                  <c:y val="0.12519317870121149"/>
                </c:manualLayout>
              </c:layout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29,6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688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46,4</c:v>
                </c:pt>
                <c:pt idx="1">
                  <c:v>Неналоговые доходы 24,0</c:v>
                </c:pt>
                <c:pt idx="2">
                  <c:v>безвозмездные поступления 29,6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46.4</c:v>
                </c:pt>
                <c:pt idx="1">
                  <c:v>24</c:v>
                </c:pt>
                <c:pt idx="2">
                  <c:v>29.6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6882">
          <a:noFill/>
        </a:ln>
      </c:spPr>
    </c:plotArea>
    <c:legend>
      <c:legendPos val="r"/>
      <c:layout>
        <c:manualLayout>
          <c:xMode val="edge"/>
          <c:yMode val="edge"/>
          <c:x val="0.68137254901960786"/>
          <c:y val="0.36248080101098473"/>
          <c:w val="0.30555555555555558"/>
          <c:h val="0.344525776870483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227272727272728"/>
          <c:y val="6.8592057761732855E-2"/>
          <c:w val="0.63257575757575757"/>
          <c:h val="0.779783393501805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Дотации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2176.9</c:v>
                </c:pt>
                <c:pt idx="1">
                  <c:v>1776.9</c:v>
                </c:pt>
                <c:pt idx="2">
                  <c:v>983.1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Субсидии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6851.7</c:v>
                </c:pt>
                <c:pt idx="1">
                  <c:v>7233.1</c:v>
                </c:pt>
                <c:pt idx="2">
                  <c:v>3016.3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Субвенции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165</c:v>
                </c:pt>
                <c:pt idx="1">
                  <c:v>158.69999999999999</c:v>
                </c:pt>
                <c:pt idx="2">
                  <c:v>199.2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Иные МБТ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0</c:v>
                </c:pt>
                <c:pt idx="1">
                  <c:v>1410.7</c:v>
                </c:pt>
                <c:pt idx="2">
                  <c:v>60.7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Прочие МБТ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3"/>
                <c:pt idx="0">
                  <c:v>65.2</c:v>
                </c:pt>
                <c:pt idx="1">
                  <c:v>200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211008"/>
        <c:axId val="205853440"/>
        <c:axId val="0"/>
      </c:bar3DChart>
      <c:catAx>
        <c:axId val="21521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8534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585344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2110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568181818181823"/>
          <c:y val="0.28158844765342961"/>
          <c:w val="0.23674242424242425"/>
          <c:h val="0.436823104693140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2914572864321606E-2"/>
          <c:y val="6.5326633165829151E-2"/>
          <c:w val="0.62562814070351758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Доходы от возврата МБТ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1.9</c:v>
                </c:pt>
                <c:pt idx="1">
                  <c:v>1.4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5910784"/>
        <c:axId val="205912320"/>
        <c:axId val="0"/>
      </c:bar3DChart>
      <c:catAx>
        <c:axId val="205910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912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591232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9107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3618090452261309"/>
          <c:y val="0.4120603015075377"/>
          <c:w val="0.25376884422110552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"/>
          <c:y val="6.5326633165829151E-2"/>
          <c:w val="0.55609756097560981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Возврат отстатков МБТ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-13</c:v>
                </c:pt>
                <c:pt idx="1">
                  <c:v>-303.39999999999998</c:v>
                </c:pt>
                <c:pt idx="2">
                  <c:v>-39.799999999999997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4849792"/>
        <c:axId val="214851584"/>
        <c:axId val="0"/>
      </c:bar3DChart>
      <c:catAx>
        <c:axId val="21484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4851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485158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48497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8292682926829273"/>
          <c:y val="0.4120603015075377"/>
          <c:w val="0.3073170731707317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5440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632476633490139E-2"/>
          <c:y val="0.15599468630344193"/>
          <c:w val="0.51760193342168981"/>
          <c:h val="0.7603399662607859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spPr>
            <a:ln w="1272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/>
          </c:dPt>
          <c:dPt>
            <c:idx val="1"/>
            <c:bubble3D val="0"/>
            <c:spPr/>
          </c:dPt>
          <c:dPt>
            <c:idx val="2"/>
            <c:bubble3D val="0"/>
            <c:spPr/>
          </c:dPt>
          <c:dPt>
            <c:idx val="3"/>
            <c:bubble3D val="0"/>
            <c:spPr/>
          </c:dPt>
          <c:dPt>
            <c:idx val="4"/>
            <c:bubble3D val="0"/>
            <c:spPr>
              <a:solidFill>
                <a:srgbClr val="4198AF"/>
              </a:solidFill>
              <a:ln w="1272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/>
          </c:dPt>
          <c:dPt>
            <c:idx val="6"/>
            <c:bubble3D val="0"/>
            <c:spPr/>
          </c:dPt>
          <c:dPt>
            <c:idx val="7"/>
            <c:bubble3D val="0"/>
            <c:spPr/>
          </c:dPt>
          <c:dPt>
            <c:idx val="8"/>
            <c:bubble3D val="0"/>
            <c:spPr/>
          </c:dPt>
          <c:dLbls>
            <c:dLbl>
              <c:idx val="0"/>
              <c:layout>
                <c:manualLayout>
                  <c:x val="5.077230809165805E-3"/>
                  <c:y val="7.1921338763865947E-4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2026701379858092E-2"/>
                  <c:y val="2.430722204091321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374197619589942E-2"/>
                  <c:y val="3.839605431937175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316912992166001E-2"/>
                  <c:y val="7.9086607512896867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4682674712253831E-3"/>
                  <c:y val="3.3705860712129458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81592996856791E-2"/>
                  <c:y val="8.4378607903349764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3.5420732571475551E-5"/>
                  <c:y val="-2.3278557120112793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5.3852718031678737E-2"/>
                  <c:y val="-2.7009900403694893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общегосударственные вопросы</c:v>
                </c:pt>
                <c:pt idx="1">
                  <c:v>нац.безопасность и правоохр. деятельность</c:v>
                </c:pt>
                <c:pt idx="2">
                  <c:v>национальная оборона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культура и кинематография</c:v>
                </c:pt>
                <c:pt idx="6">
                  <c:v>физическая культура и спорт</c:v>
                </c:pt>
                <c:pt idx="7">
                  <c:v>средства массовой информации</c:v>
                </c:pt>
                <c:pt idx="8">
                  <c:v>обслуживание муниципального долга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45</c:v>
                </c:pt>
                <c:pt idx="1">
                  <c:v>1.9</c:v>
                </c:pt>
                <c:pt idx="2">
                  <c:v>1.4</c:v>
                </c:pt>
                <c:pt idx="3">
                  <c:v>22.8</c:v>
                </c:pt>
                <c:pt idx="4">
                  <c:v>7.8</c:v>
                </c:pt>
                <c:pt idx="5">
                  <c:v>20.100000000000001</c:v>
                </c:pt>
                <c:pt idx="6">
                  <c:v>0.1</c:v>
                </c:pt>
                <c:pt idx="7">
                  <c:v>0.5</c:v>
                </c:pt>
                <c:pt idx="8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40">
          <a:noFill/>
        </a:ln>
      </c:spPr>
    </c:plotArea>
    <c:legend>
      <c:legendPos val="r"/>
      <c:layout>
        <c:manualLayout>
          <c:xMode val="edge"/>
          <c:yMode val="edge"/>
          <c:x val="0.63025210084033612"/>
          <c:y val="0.14365671641791045"/>
          <c:w val="0.33613445378151263"/>
          <c:h val="0.80597014925373134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3050847457627114E-2"/>
          <c:y val="7.9051383399209488E-2"/>
          <c:w val="0.55932203389830504"/>
          <c:h val="0.758893280632411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Функционирование высшего должностного лица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509.8</c:v>
                </c:pt>
                <c:pt idx="1">
                  <c:v>545.9</c:v>
                </c:pt>
                <c:pt idx="2">
                  <c:v>563.20000000000005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Функционирование местных администраций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1248.0999999999999</c:v>
                </c:pt>
                <c:pt idx="1">
                  <c:v>1329.5</c:v>
                </c:pt>
                <c:pt idx="2">
                  <c:v>2214.1999999999998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Обеспечение деятельности органов финансового надзора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17.100000000000001</c:v>
                </c:pt>
                <c:pt idx="1">
                  <c:v>19.2</c:v>
                </c:pt>
                <c:pt idx="2">
                  <c:v>22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Другие общегосударственные вопросы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2925.8</c:v>
                </c:pt>
                <c:pt idx="1">
                  <c:v>3773.8</c:v>
                </c:pt>
                <c:pt idx="2">
                  <c:v>3231.1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Обеспечение проведения выборов и референдумов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3"/>
                <c:pt idx="2">
                  <c:v>268.39999999999998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Резервные фонды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3"/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598592"/>
        <c:axId val="215600128"/>
        <c:axId val="0"/>
      </c:bar3DChart>
      <c:catAx>
        <c:axId val="21559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6001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560012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5985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559322033898302"/>
          <c:y val="0"/>
          <c:w val="0.36440677966101692"/>
          <c:h val="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741379310344834E-2"/>
          <c:y val="6.030150753768844E-2"/>
          <c:w val="0.59051724137931039"/>
          <c:h val="0.763819095477386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Мобилизационная и вневойсковая подготовка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122.1</c:v>
                </c:pt>
                <c:pt idx="1">
                  <c:v>142.6</c:v>
                </c:pt>
                <c:pt idx="2">
                  <c:v>194.1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378944"/>
        <c:axId val="215384832"/>
        <c:axId val="0"/>
      </c:bar3DChart>
      <c:catAx>
        <c:axId val="215378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384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538483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3789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396551724137934"/>
          <c:y val="0.37185929648241206"/>
          <c:w val="0.29741379310344829"/>
          <c:h val="0.256281407035175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10204081632656E-2"/>
          <c:y val="6.5326633165829151E-2"/>
          <c:w val="0.65714285714285714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ЧС, ГО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167.5</c:v>
                </c:pt>
                <c:pt idx="1">
                  <c:v>198.1</c:v>
                </c:pt>
                <c:pt idx="2">
                  <c:v>249.8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Другие вопросы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25.8</c:v>
                </c:pt>
                <c:pt idx="1">
                  <c:v>12.8</c:v>
                </c:pt>
                <c:pt idx="2">
                  <c:v>13.1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46965760"/>
        <c:axId val="246967296"/>
        <c:axId val="0"/>
      </c:bar3DChart>
      <c:catAx>
        <c:axId val="246965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69672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69672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69657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510204081632648"/>
          <c:y val="0.39698492462311558"/>
          <c:w val="0.23673469387755103"/>
          <c:h val="0.2060301507537688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857142857142857E-2"/>
          <c:y val="6.1135371179039298E-2"/>
          <c:w val="0.59642857142857142"/>
          <c:h val="0.781659388646288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Общеэкономические вопросы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Дорожное хозяйство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5656.3</c:v>
                </c:pt>
                <c:pt idx="1">
                  <c:v>6052.4</c:v>
                </c:pt>
                <c:pt idx="2">
                  <c:v>2791.1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Другие вопросы в области нац.экономки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688.3</c:v>
                </c:pt>
                <c:pt idx="1">
                  <c:v>982.5</c:v>
                </c:pt>
                <c:pt idx="2">
                  <c:v>406.9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46989568"/>
        <c:axId val="246991104"/>
        <c:axId val="0"/>
      </c:bar3DChart>
      <c:catAx>
        <c:axId val="24698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69911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69911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69895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464285714285712"/>
          <c:y val="0.2576419213973799"/>
          <c:w val="0.29821428571428571"/>
          <c:h val="0.4890829694323143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3333333333333329E-2"/>
          <c:y val="6.5326633165829151E-2"/>
          <c:w val="0.56818181818181823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252.8</c:v>
                </c:pt>
                <c:pt idx="1">
                  <c:v>427.7</c:v>
                </c:pt>
                <c:pt idx="2">
                  <c:v>330.5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Благоустройство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1372.1</c:v>
                </c:pt>
                <c:pt idx="1">
                  <c:v>1692.3</c:v>
                </c:pt>
                <c:pt idx="2">
                  <c:v>761.7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718912"/>
        <c:axId val="215720704"/>
        <c:axId val="0"/>
      </c:bar3DChart>
      <c:catAx>
        <c:axId val="215718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7207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57207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7189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234848484848486"/>
          <c:y val="0.39698492462311558"/>
          <c:w val="0.32007575757575757"/>
          <c:h val="0.2060301507537688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9792387543252594E-2"/>
          <c:y val="5.0251256281407038E-2"/>
          <c:w val="0.62802768166089962"/>
          <c:h val="0.773869346733668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Другие вопросы в области охраны окр.среды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4.5999999999999996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47300864"/>
        <c:axId val="247302400"/>
        <c:axId val="0"/>
      </c:bar3DChart>
      <c:catAx>
        <c:axId val="24730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73024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73024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73008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8685121107266434"/>
          <c:y val="0.4120603015075377"/>
          <c:w val="0.30622837370242212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496932515337423"/>
          <c:y val="6.5326633165829151E-2"/>
          <c:w val="0.64723926380368102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НДФЛ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1333.3</c:v>
                </c:pt>
                <c:pt idx="1">
                  <c:v>1387.9</c:v>
                </c:pt>
                <c:pt idx="2">
                  <c:v>1405.7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0052224"/>
        <c:axId val="171278720"/>
        <c:axId val="0"/>
      </c:bar3DChart>
      <c:catAx>
        <c:axId val="170052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1278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127872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00522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1595092024539873"/>
          <c:y val="0.44723618090452261"/>
          <c:w val="0.17177914110429449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795918367346933E-2"/>
          <c:y val="5.0251256281407038E-2"/>
          <c:w val="0.73061224489795917"/>
          <c:h val="0.773869346733668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Культура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2319</c:v>
                </c:pt>
                <c:pt idx="1">
                  <c:v>4015.1</c:v>
                </c:pt>
                <c:pt idx="2">
                  <c:v>2812.5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742720"/>
        <c:axId val="246943744"/>
        <c:axId val="0"/>
      </c:bar3DChart>
      <c:catAx>
        <c:axId val="21574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6943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69437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7427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4285714285714286"/>
          <c:y val="0.44723618090452261"/>
          <c:w val="0.1489795918367347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10204081632656E-2"/>
          <c:y val="5.5276381909547742E-2"/>
          <c:w val="0.65306122448979587"/>
          <c:h val="0.768844221105527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Массовый спорт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76.099999999999994</c:v>
                </c:pt>
                <c:pt idx="1">
                  <c:v>202.4</c:v>
                </c:pt>
                <c:pt idx="2">
                  <c:v>10.3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7665536"/>
        <c:axId val="217667072"/>
        <c:axId val="0"/>
      </c:bar3DChart>
      <c:catAx>
        <c:axId val="21766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76670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76670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76655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102040816326532"/>
          <c:y val="0.44723618090452261"/>
          <c:w val="0.24081632653061225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839186691312385E-2"/>
          <c:y val="5.5276381909547742E-2"/>
          <c:w val="0.57670979667282807"/>
          <c:h val="0.768844221105527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Другие вопросы в области СМИ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121.2</c:v>
                </c:pt>
                <c:pt idx="1">
                  <c:v>147.30000000000001</c:v>
                </c:pt>
                <c:pt idx="2">
                  <c:v>68.5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7683456"/>
        <c:axId val="217684992"/>
        <c:axId val="0"/>
      </c:bar3DChart>
      <c:catAx>
        <c:axId val="217683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76849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768499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76834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654343807763401"/>
          <c:y val="0.4120603015075377"/>
          <c:w val="0.32717190388170053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555555555555552E-2"/>
          <c:y val="5.5276381909547742E-2"/>
          <c:w val="0.62962962962962965"/>
          <c:h val="0.768844221105527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Обслуживание муниципального долга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77.900000000000006</c:v>
                </c:pt>
                <c:pt idx="1">
                  <c:v>39.4</c:v>
                </c:pt>
                <c:pt idx="2">
                  <c:v>58.9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47499776"/>
        <c:axId val="247505664"/>
        <c:axId val="0"/>
      </c:bar3DChart>
      <c:catAx>
        <c:axId val="24749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7505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75056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74997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55555555555556"/>
          <c:y val="0.4120603015075377"/>
          <c:w val="0.28703703703703703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496932515337423"/>
          <c:y val="7.0351758793969849E-2"/>
          <c:w val="0.62269938650306744"/>
          <c:h val="0.753768844221105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Акцизы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1557.2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6000512"/>
        <c:axId val="206002048"/>
        <c:axId val="0"/>
      </c:bar3DChart>
      <c:catAx>
        <c:axId val="20600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60020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60020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60005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9141104294478526"/>
          <c:y val="0.44723618090452261"/>
          <c:w val="0.19631901840490798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496932515337423"/>
          <c:y val="6.5326633165829151E-2"/>
          <c:w val="0.66257668711656437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ЕСХН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848.8</c:v>
                </c:pt>
                <c:pt idx="1">
                  <c:v>715.2</c:v>
                </c:pt>
                <c:pt idx="2">
                  <c:v>469.3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6030720"/>
        <c:axId val="206032256"/>
        <c:axId val="0"/>
      </c:bar3DChart>
      <c:catAx>
        <c:axId val="206030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60322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603225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60307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3128834355828218"/>
          <c:y val="0.44723618090452261"/>
          <c:w val="0.15644171779141106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349693251533742"/>
          <c:y val="6.5326633165829151E-2"/>
          <c:w val="0.67177914110429449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НИФЛ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272.5</c:v>
                </c:pt>
                <c:pt idx="1">
                  <c:v>272.89999999999998</c:v>
                </c:pt>
                <c:pt idx="2">
                  <c:v>469.3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8484992"/>
        <c:axId val="188494976"/>
        <c:axId val="0"/>
      </c:bar3DChart>
      <c:catAx>
        <c:axId val="18848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84949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849497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84849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1901840490797551"/>
          <c:y val="0.44723618090452261"/>
          <c:w val="0.16871165644171779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055276381909548"/>
          <c:y val="6.6037735849056603E-2"/>
          <c:w val="0.53517587939698497"/>
          <c:h val="0.7688679245283018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Земельный налог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2481.6999999999998</c:v>
                </c:pt>
                <c:pt idx="1">
                  <c:v>2777.2</c:v>
                </c:pt>
                <c:pt idx="2">
                  <c:v>2813.9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4979712"/>
        <c:axId val="214981248"/>
        <c:axId val="0"/>
      </c:bar3DChart>
      <c:catAx>
        <c:axId val="214979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4981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49812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49797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33668341708543"/>
          <c:y val="0.45283018867924529"/>
          <c:w val="0.3165829145728643"/>
          <c:h val="9.9056603773584911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376884422110546E-2"/>
          <c:y val="6.5326633165829151E-2"/>
          <c:w val="0.57035175879396982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Земельный налог прошлых лет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4</c:v>
                </c:pt>
                <c:pt idx="1">
                  <c:v>9.6</c:v>
                </c:pt>
                <c:pt idx="2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4993536"/>
        <c:axId val="215015808"/>
        <c:axId val="0"/>
      </c:bar3DChart>
      <c:catAx>
        <c:axId val="21499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0158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50158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49935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33668341708543"/>
          <c:y val="0.4120603015075377"/>
          <c:w val="0.3165829145728643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055276381909548"/>
          <c:y val="6.5326633165829151E-2"/>
          <c:w val="0.56281407035175879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Арендная плата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2741.8</c:v>
                </c:pt>
                <c:pt idx="1">
                  <c:v>2720.4</c:v>
                </c:pt>
                <c:pt idx="2">
                  <c:v>2753.7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5541760"/>
        <c:axId val="205543296"/>
        <c:axId val="0"/>
      </c:bar3DChart>
      <c:catAx>
        <c:axId val="205541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5432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55432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5417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100502512562812"/>
          <c:y val="0.44723618090452261"/>
          <c:w val="0.28894472361809043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6354166666666671E-2"/>
          <c:y val="5.9633027522935783E-2"/>
          <c:w val="0.6171875"/>
          <c:h val="0.775229357798165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Доходы от продажи земельных участков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4.4000000000000004</c:v>
                </c:pt>
                <c:pt idx="1">
                  <c:v>366</c:v>
                </c:pt>
                <c:pt idx="2">
                  <c:v>677.2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172992"/>
        <c:axId val="215174528"/>
        <c:axId val="0"/>
      </c:bar3DChart>
      <c:catAx>
        <c:axId val="215172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1745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517452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51729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421875"/>
          <c:y val="0.33944954128440369"/>
          <c:w val="0.24739583333333334"/>
          <c:h val="0.3211009174311926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7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75C7-BEB4-4DB7-9D5D-E081B83F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</Pages>
  <Words>8532</Words>
  <Characters>48638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430</cp:revision>
  <cp:lastPrinted>2015-04-30T08:10:00Z</cp:lastPrinted>
  <dcterms:created xsi:type="dcterms:W3CDTF">2013-04-24T09:50:00Z</dcterms:created>
  <dcterms:modified xsi:type="dcterms:W3CDTF">2015-06-02T11:32:00Z</dcterms:modified>
</cp:coreProperties>
</file>